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4BB9" w14:textId="007B1057" w:rsidR="005E443E" w:rsidRDefault="005E443E">
      <w:pPr>
        <w:widowControl w:val="0"/>
        <w:pBdr>
          <w:top w:val="nil"/>
          <w:left w:val="nil"/>
          <w:bottom w:val="nil"/>
          <w:right w:val="nil"/>
          <w:between w:val="nil"/>
        </w:pBdr>
        <w:spacing w:after="0"/>
        <w:rPr>
          <w:rFonts w:ascii="Arial" w:eastAsia="Arial" w:hAnsi="Arial" w:cs="Arial"/>
          <w:color w:val="000000"/>
        </w:rPr>
      </w:pPr>
    </w:p>
    <w:p w14:paraId="0124C490" w14:textId="77777777" w:rsidR="00015CFC" w:rsidRDefault="00015CFC">
      <w:pPr>
        <w:widowControl w:val="0"/>
        <w:pBdr>
          <w:top w:val="nil"/>
          <w:left w:val="nil"/>
          <w:bottom w:val="nil"/>
          <w:right w:val="nil"/>
          <w:between w:val="nil"/>
        </w:pBdr>
        <w:spacing w:after="0"/>
        <w:rPr>
          <w:rFonts w:ascii="Arial" w:eastAsia="Arial" w:hAnsi="Arial" w:cs="Arial"/>
          <w:color w:val="000000"/>
        </w:rPr>
      </w:pPr>
    </w:p>
    <w:tbl>
      <w:tblPr>
        <w:tblStyle w:val="a"/>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3002"/>
        <w:gridCol w:w="1811"/>
        <w:gridCol w:w="1792"/>
      </w:tblGrid>
      <w:tr w:rsidR="005E443E" w14:paraId="7E3A5CF2" w14:textId="77777777">
        <w:trPr>
          <w:trHeight w:val="374"/>
        </w:trPr>
        <w:tc>
          <w:tcPr>
            <w:tcW w:w="7989" w:type="dxa"/>
            <w:gridSpan w:val="3"/>
            <w:tcBorders>
              <w:top w:val="nil"/>
              <w:left w:val="nil"/>
              <w:bottom w:val="nil"/>
              <w:right w:val="nil"/>
            </w:tcBorders>
            <w:shd w:val="clear" w:color="auto" w:fill="auto"/>
          </w:tcPr>
          <w:p w14:paraId="7A957F4E" w14:textId="77777777" w:rsidR="005E443E" w:rsidRDefault="00E4637D">
            <w:pPr>
              <w:tabs>
                <w:tab w:val="left" w:pos="2595"/>
                <w:tab w:val="left" w:pos="3210"/>
              </w:tabs>
              <w:jc w:val="left"/>
              <w:rPr>
                <w:rFonts w:ascii="Lato" w:eastAsia="Lato" w:hAnsi="Lato" w:cs="Lato"/>
                <w:b/>
              </w:rPr>
            </w:pPr>
            <w:r>
              <w:rPr>
                <w:rFonts w:ascii="Lato" w:eastAsia="Lato" w:hAnsi="Lato" w:cs="Lato"/>
                <w:b/>
              </w:rPr>
              <w:t>Stan na dzień sporządzenia prospektu informacyjnego</w:t>
            </w:r>
          </w:p>
        </w:tc>
        <w:tc>
          <w:tcPr>
            <w:tcW w:w="1792" w:type="dxa"/>
            <w:tcBorders>
              <w:top w:val="nil"/>
              <w:left w:val="nil"/>
              <w:bottom w:val="single" w:sz="4" w:space="0" w:color="000000"/>
              <w:right w:val="nil"/>
            </w:tcBorders>
            <w:shd w:val="clear" w:color="auto" w:fill="auto"/>
          </w:tcPr>
          <w:p w14:paraId="5441DFFA" w14:textId="77777777" w:rsidR="005E443E" w:rsidRDefault="005E443E">
            <w:pPr>
              <w:rPr>
                <w:rFonts w:ascii="Lato" w:eastAsia="Lato" w:hAnsi="Lato" w:cs="Lato"/>
              </w:rPr>
            </w:pPr>
          </w:p>
        </w:tc>
      </w:tr>
      <w:tr w:rsidR="005E443E" w14:paraId="57F47EC9" w14:textId="77777777">
        <w:trPr>
          <w:trHeight w:val="1049"/>
        </w:trPr>
        <w:tc>
          <w:tcPr>
            <w:tcW w:w="7989" w:type="dxa"/>
            <w:gridSpan w:val="3"/>
            <w:tcBorders>
              <w:top w:val="nil"/>
              <w:left w:val="nil"/>
              <w:bottom w:val="nil"/>
              <w:right w:val="single" w:sz="4" w:space="0" w:color="000000"/>
            </w:tcBorders>
            <w:shd w:val="clear" w:color="auto" w:fill="auto"/>
          </w:tcPr>
          <w:p w14:paraId="200CBC08" w14:textId="77777777" w:rsidR="005E443E" w:rsidRDefault="005E443E">
            <w:pPr>
              <w:rPr>
                <w:rFonts w:ascii="Lato" w:eastAsia="Lato" w:hAnsi="Lato" w:cs="Lato"/>
                <w:b/>
              </w:rPr>
            </w:pP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14:paraId="23964C29" w14:textId="4BECC58B" w:rsidR="005E443E" w:rsidRDefault="00E94720">
            <w:pPr>
              <w:rPr>
                <w:rFonts w:ascii="Lato" w:eastAsia="Lato" w:hAnsi="Lato" w:cs="Lato"/>
              </w:rPr>
            </w:pPr>
            <w:r>
              <w:rPr>
                <w:rFonts w:ascii="Lato" w:eastAsia="Lato" w:hAnsi="Lato" w:cs="Lato"/>
              </w:rPr>
              <w:t>10</w:t>
            </w:r>
            <w:r w:rsidR="00427AB5">
              <w:rPr>
                <w:rFonts w:ascii="Lato" w:eastAsia="Lato" w:hAnsi="Lato" w:cs="Lato"/>
              </w:rPr>
              <w:t>.</w:t>
            </w:r>
            <w:r w:rsidR="00C35F3F">
              <w:rPr>
                <w:rFonts w:ascii="Lato" w:eastAsia="Lato" w:hAnsi="Lato" w:cs="Lato"/>
              </w:rPr>
              <w:t>0</w:t>
            </w:r>
            <w:r>
              <w:rPr>
                <w:rFonts w:ascii="Lato" w:eastAsia="Lato" w:hAnsi="Lato" w:cs="Lato"/>
              </w:rPr>
              <w:t>9</w:t>
            </w:r>
            <w:r w:rsidR="00906590">
              <w:rPr>
                <w:rFonts w:ascii="Lato" w:eastAsia="Lato" w:hAnsi="Lato" w:cs="Lato"/>
              </w:rPr>
              <w:t>.202</w:t>
            </w:r>
            <w:r>
              <w:rPr>
                <w:rFonts w:ascii="Lato" w:eastAsia="Lato" w:hAnsi="Lato" w:cs="Lato"/>
              </w:rPr>
              <w:t>5</w:t>
            </w:r>
            <w:r w:rsidR="007C276E">
              <w:rPr>
                <w:rStyle w:val="Odwoanieprzypisudolnego"/>
                <w:rFonts w:ascii="Lato" w:eastAsia="Lato" w:hAnsi="Lato" w:cs="Lato"/>
              </w:rPr>
              <w:footnoteReference w:id="1"/>
            </w:r>
          </w:p>
        </w:tc>
      </w:tr>
      <w:tr w:rsidR="005E443E" w14:paraId="6CCA8D43" w14:textId="77777777">
        <w:trPr>
          <w:trHeight w:val="612"/>
        </w:trPr>
        <w:tc>
          <w:tcPr>
            <w:tcW w:w="9781" w:type="dxa"/>
            <w:gridSpan w:val="4"/>
            <w:tcBorders>
              <w:top w:val="nil"/>
              <w:left w:val="nil"/>
              <w:bottom w:val="nil"/>
              <w:right w:val="nil"/>
            </w:tcBorders>
            <w:shd w:val="clear" w:color="auto" w:fill="auto"/>
          </w:tcPr>
          <w:p w14:paraId="59B0C035" w14:textId="77777777" w:rsidR="005E443E" w:rsidRDefault="00E4637D">
            <w:pPr>
              <w:rPr>
                <w:rFonts w:ascii="Lato" w:eastAsia="Lato" w:hAnsi="Lato" w:cs="Lato"/>
                <w:b/>
              </w:rPr>
            </w:pPr>
            <w:r>
              <w:rPr>
                <w:rFonts w:ascii="Lato" w:eastAsia="Lato" w:hAnsi="Lato" w:cs="Lato"/>
                <w:b/>
              </w:rPr>
              <w:t>PROSPEKT INFORMACYJNY</w:t>
            </w:r>
          </w:p>
        </w:tc>
      </w:tr>
      <w:tr w:rsidR="005E443E" w14:paraId="066E79A0" w14:textId="77777777">
        <w:trPr>
          <w:trHeight w:val="374"/>
        </w:trPr>
        <w:tc>
          <w:tcPr>
            <w:tcW w:w="9781" w:type="dxa"/>
            <w:gridSpan w:val="4"/>
            <w:tcBorders>
              <w:top w:val="nil"/>
              <w:left w:val="nil"/>
              <w:bottom w:val="nil"/>
              <w:right w:val="nil"/>
            </w:tcBorders>
            <w:shd w:val="clear" w:color="auto" w:fill="auto"/>
          </w:tcPr>
          <w:p w14:paraId="319A45A4" w14:textId="77777777" w:rsidR="005E443E" w:rsidRDefault="00E4637D">
            <w:pPr>
              <w:rPr>
                <w:rFonts w:ascii="Lato" w:eastAsia="Lato" w:hAnsi="Lato" w:cs="Lato"/>
                <w:b/>
              </w:rPr>
            </w:pPr>
            <w:r>
              <w:rPr>
                <w:rFonts w:ascii="Lato" w:eastAsia="Lato" w:hAnsi="Lato" w:cs="Lato"/>
                <w:b/>
              </w:rPr>
              <w:t>CZĘŚĆ OGÓLNA</w:t>
            </w:r>
          </w:p>
        </w:tc>
      </w:tr>
      <w:tr w:rsidR="005E443E" w14:paraId="4D2554E2" w14:textId="77777777">
        <w:trPr>
          <w:trHeight w:val="612"/>
        </w:trPr>
        <w:tc>
          <w:tcPr>
            <w:tcW w:w="9781" w:type="dxa"/>
            <w:gridSpan w:val="4"/>
            <w:tcBorders>
              <w:top w:val="nil"/>
              <w:left w:val="nil"/>
              <w:right w:val="nil"/>
            </w:tcBorders>
            <w:shd w:val="clear" w:color="auto" w:fill="auto"/>
          </w:tcPr>
          <w:p w14:paraId="573CA8D2" w14:textId="77777777" w:rsidR="005E443E" w:rsidRDefault="00E4637D">
            <w:pPr>
              <w:rPr>
                <w:rFonts w:ascii="Lato" w:eastAsia="Lato" w:hAnsi="Lato" w:cs="Lato"/>
                <w:b/>
              </w:rPr>
            </w:pPr>
            <w:r>
              <w:rPr>
                <w:rFonts w:ascii="Lato" w:eastAsia="Lato" w:hAnsi="Lato" w:cs="Lato"/>
                <w:b/>
              </w:rPr>
              <w:t>I. DANE IDENTYFIKACYJNE I KONTAKTOWE DOTYCZĄCE DEWELOPERA</w:t>
            </w:r>
          </w:p>
        </w:tc>
      </w:tr>
      <w:tr w:rsidR="005E443E" w14:paraId="3810B970" w14:textId="77777777">
        <w:trPr>
          <w:trHeight w:val="799"/>
        </w:trPr>
        <w:tc>
          <w:tcPr>
            <w:tcW w:w="9781" w:type="dxa"/>
            <w:gridSpan w:val="4"/>
            <w:shd w:val="clear" w:color="auto" w:fill="BFBFBF"/>
          </w:tcPr>
          <w:p w14:paraId="2C363EB7" w14:textId="77777777" w:rsidR="005E443E" w:rsidRDefault="00E4637D">
            <w:pPr>
              <w:pBdr>
                <w:top w:val="nil"/>
                <w:left w:val="nil"/>
                <w:bottom w:val="nil"/>
                <w:right w:val="nil"/>
                <w:between w:val="nil"/>
              </w:pBdr>
              <w:spacing w:before="120" w:after="200" w:line="276" w:lineRule="auto"/>
              <w:jc w:val="left"/>
              <w:rPr>
                <w:rFonts w:ascii="Lato" w:eastAsia="Lato" w:hAnsi="Lato" w:cs="Lato"/>
                <w:b/>
                <w:color w:val="000000"/>
              </w:rPr>
            </w:pPr>
            <w:r>
              <w:rPr>
                <w:rFonts w:ascii="Lato" w:eastAsia="Lato" w:hAnsi="Lato" w:cs="Lato"/>
                <w:b/>
                <w:color w:val="000000"/>
              </w:rPr>
              <w:t>DANE DEWELOPERA</w:t>
            </w:r>
          </w:p>
        </w:tc>
      </w:tr>
      <w:tr w:rsidR="005E443E" w14:paraId="764DE262" w14:textId="77777777">
        <w:trPr>
          <w:trHeight w:val="799"/>
        </w:trPr>
        <w:tc>
          <w:tcPr>
            <w:tcW w:w="3176" w:type="dxa"/>
            <w:vMerge w:val="restart"/>
            <w:shd w:val="clear" w:color="auto" w:fill="D9D9D9"/>
          </w:tcPr>
          <w:p w14:paraId="74A6D80C"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Deweloper</w:t>
            </w:r>
          </w:p>
        </w:tc>
        <w:tc>
          <w:tcPr>
            <w:tcW w:w="6605" w:type="dxa"/>
            <w:gridSpan w:val="3"/>
            <w:tcBorders>
              <w:bottom w:val="nil"/>
            </w:tcBorders>
          </w:tcPr>
          <w:p w14:paraId="3FBB46CF" w14:textId="77777777" w:rsidR="002321A9" w:rsidRPr="00427AB5" w:rsidRDefault="002321A9" w:rsidP="002321A9">
            <w:pPr>
              <w:spacing w:before="25" w:after="200" w:line="276" w:lineRule="auto"/>
              <w:jc w:val="left"/>
              <w:rPr>
                <w:rFonts w:ascii="Arial" w:hAnsi="Arial" w:cs="Arial"/>
                <w:color w:val="222222"/>
                <w:sz w:val="19"/>
                <w:szCs w:val="19"/>
                <w:shd w:val="clear" w:color="auto" w:fill="FFFFFF"/>
              </w:rPr>
            </w:pPr>
          </w:p>
          <w:p w14:paraId="0E98562F" w14:textId="77777777" w:rsidR="00906590" w:rsidRPr="00427AB5" w:rsidRDefault="00A547CB" w:rsidP="00906590">
            <w:pPr>
              <w:spacing w:before="25" w:after="200" w:line="276" w:lineRule="auto"/>
              <w:jc w:val="left"/>
              <w:rPr>
                <w:color w:val="000000"/>
              </w:rPr>
            </w:pPr>
            <w:proofErr w:type="spellStart"/>
            <w:r w:rsidRPr="00A547CB">
              <w:rPr>
                <w:rFonts w:ascii="Arial" w:hAnsi="Arial" w:cs="Arial"/>
                <w:color w:val="222222"/>
                <w:sz w:val="19"/>
                <w:szCs w:val="19"/>
                <w:shd w:val="clear" w:color="auto" w:fill="FFFFFF"/>
              </w:rPr>
              <w:t>KdF</w:t>
            </w:r>
            <w:proofErr w:type="spellEnd"/>
            <w:r w:rsidRPr="00A547CB">
              <w:rPr>
                <w:rFonts w:ascii="Arial" w:hAnsi="Arial" w:cs="Arial"/>
                <w:color w:val="222222"/>
                <w:sz w:val="19"/>
                <w:szCs w:val="19"/>
                <w:shd w:val="clear" w:color="auto" w:fill="FFFFFF"/>
              </w:rPr>
              <w:t xml:space="preserve"> Development 1 Spółka z ograniczoną odpowiedzialnością</w:t>
            </w:r>
          </w:p>
          <w:p w14:paraId="052EFA88" w14:textId="77777777" w:rsidR="005E443E" w:rsidRDefault="00906590" w:rsidP="00F2131D">
            <w:pPr>
              <w:spacing w:after="60" w:line="276" w:lineRule="auto"/>
              <w:rPr>
                <w:rFonts w:ascii="Lato" w:eastAsia="Lato" w:hAnsi="Lato" w:cs="Lato"/>
                <w:color w:val="000000"/>
              </w:rPr>
            </w:pPr>
            <w:r>
              <w:rPr>
                <w:rFonts w:ascii="Arial" w:hAnsi="Arial" w:cs="Arial"/>
                <w:color w:val="222222"/>
                <w:sz w:val="19"/>
                <w:szCs w:val="19"/>
                <w:shd w:val="clear" w:color="auto" w:fill="FFFFFF"/>
              </w:rPr>
              <w:t>KRS: 0000769315</w:t>
            </w:r>
          </w:p>
        </w:tc>
      </w:tr>
      <w:tr w:rsidR="005E443E" w14:paraId="207C4198" w14:textId="77777777">
        <w:tc>
          <w:tcPr>
            <w:tcW w:w="3176" w:type="dxa"/>
            <w:vMerge/>
            <w:shd w:val="clear" w:color="auto" w:fill="D9D9D9"/>
          </w:tcPr>
          <w:p w14:paraId="24F2C589" w14:textId="77777777" w:rsidR="005E443E" w:rsidRDefault="005E443E">
            <w:pPr>
              <w:widowControl w:val="0"/>
              <w:pBdr>
                <w:top w:val="nil"/>
                <w:left w:val="nil"/>
                <w:bottom w:val="nil"/>
                <w:right w:val="nil"/>
                <w:between w:val="nil"/>
              </w:pBdr>
              <w:spacing w:line="276" w:lineRule="auto"/>
              <w:jc w:val="left"/>
              <w:rPr>
                <w:color w:val="000000"/>
              </w:rPr>
            </w:pPr>
          </w:p>
        </w:tc>
        <w:tc>
          <w:tcPr>
            <w:tcW w:w="6605" w:type="dxa"/>
            <w:gridSpan w:val="3"/>
            <w:tcBorders>
              <w:top w:val="nil"/>
            </w:tcBorders>
          </w:tcPr>
          <w:p w14:paraId="1090DD08" w14:textId="77777777" w:rsidR="005E443E" w:rsidRDefault="005E443E">
            <w:pPr>
              <w:pBdr>
                <w:top w:val="nil"/>
                <w:left w:val="nil"/>
                <w:bottom w:val="nil"/>
                <w:right w:val="nil"/>
                <w:between w:val="nil"/>
              </w:pBdr>
              <w:spacing w:after="200" w:line="276" w:lineRule="auto"/>
              <w:jc w:val="both"/>
              <w:rPr>
                <w:rFonts w:ascii="Lato" w:eastAsia="Lato" w:hAnsi="Lato" w:cs="Lato"/>
                <w:color w:val="000000"/>
              </w:rPr>
            </w:pPr>
          </w:p>
        </w:tc>
      </w:tr>
      <w:tr w:rsidR="005E443E" w14:paraId="34B3DA73" w14:textId="77777777">
        <w:trPr>
          <w:trHeight w:val="799"/>
        </w:trPr>
        <w:tc>
          <w:tcPr>
            <w:tcW w:w="3176" w:type="dxa"/>
            <w:vMerge w:val="restart"/>
            <w:shd w:val="clear" w:color="auto" w:fill="D9D9D9"/>
          </w:tcPr>
          <w:p w14:paraId="59ED14D9"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w:t>
            </w:r>
          </w:p>
        </w:tc>
        <w:tc>
          <w:tcPr>
            <w:tcW w:w="6605" w:type="dxa"/>
            <w:gridSpan w:val="3"/>
            <w:tcBorders>
              <w:bottom w:val="nil"/>
            </w:tcBorders>
          </w:tcPr>
          <w:p w14:paraId="77459E3F" w14:textId="77777777" w:rsidR="005E443E" w:rsidRDefault="005E443E">
            <w:pPr>
              <w:pBdr>
                <w:top w:val="nil"/>
                <w:left w:val="nil"/>
                <w:bottom w:val="nil"/>
                <w:right w:val="nil"/>
                <w:between w:val="nil"/>
              </w:pBdr>
              <w:spacing w:before="30" w:line="276" w:lineRule="auto"/>
              <w:jc w:val="left"/>
              <w:rPr>
                <w:rFonts w:ascii="Lato" w:eastAsia="Lato" w:hAnsi="Lato" w:cs="Lato"/>
                <w:color w:val="000000"/>
              </w:rPr>
            </w:pPr>
          </w:p>
          <w:p w14:paraId="44D4D9C9" w14:textId="77777777" w:rsidR="005E443E" w:rsidRDefault="00906590">
            <w:pPr>
              <w:pBdr>
                <w:top w:val="nil"/>
                <w:left w:val="nil"/>
                <w:bottom w:val="nil"/>
                <w:right w:val="nil"/>
                <w:between w:val="nil"/>
              </w:pBdr>
              <w:spacing w:after="200" w:line="276" w:lineRule="auto"/>
              <w:jc w:val="left"/>
              <w:rPr>
                <w:rFonts w:ascii="Lato" w:eastAsia="Lato" w:hAnsi="Lato" w:cs="Lato"/>
                <w:color w:val="000000"/>
              </w:rPr>
            </w:pPr>
            <w:r>
              <w:rPr>
                <w:rFonts w:ascii="Arial" w:hAnsi="Arial" w:cs="Arial"/>
                <w:color w:val="222222"/>
                <w:sz w:val="19"/>
                <w:szCs w:val="19"/>
                <w:shd w:val="clear" w:color="auto" w:fill="FFFFFF"/>
              </w:rPr>
              <w:t>pl. Orląt Lwowskich 20B</w:t>
            </w:r>
            <w:r>
              <w:rPr>
                <w:rFonts w:ascii="Arial" w:hAnsi="Arial" w:cs="Arial"/>
                <w:color w:val="222222"/>
                <w:sz w:val="19"/>
                <w:szCs w:val="19"/>
              </w:rPr>
              <w:br/>
            </w:r>
            <w:r>
              <w:rPr>
                <w:rFonts w:ascii="Arial" w:hAnsi="Arial" w:cs="Arial"/>
                <w:color w:val="222222"/>
                <w:sz w:val="19"/>
                <w:szCs w:val="19"/>
                <w:shd w:val="clear" w:color="auto" w:fill="FFFFFF"/>
              </w:rPr>
              <w:t>53-605 Wrocław</w:t>
            </w:r>
          </w:p>
        </w:tc>
      </w:tr>
      <w:tr w:rsidR="005E443E" w14:paraId="7CECC309" w14:textId="77777777">
        <w:tc>
          <w:tcPr>
            <w:tcW w:w="3176" w:type="dxa"/>
            <w:vMerge/>
            <w:shd w:val="clear" w:color="auto" w:fill="D9D9D9"/>
          </w:tcPr>
          <w:p w14:paraId="72D02CDD" w14:textId="77777777" w:rsidR="005E443E" w:rsidRDefault="005E443E">
            <w:pPr>
              <w:widowControl w:val="0"/>
              <w:pBdr>
                <w:top w:val="nil"/>
                <w:left w:val="nil"/>
                <w:bottom w:val="nil"/>
                <w:right w:val="nil"/>
                <w:between w:val="nil"/>
              </w:pBdr>
              <w:spacing w:line="276" w:lineRule="auto"/>
              <w:jc w:val="left"/>
              <w:rPr>
                <w:rFonts w:eastAsia="Calibri"/>
                <w:color w:val="000000"/>
                <w:sz w:val="20"/>
                <w:szCs w:val="20"/>
              </w:rPr>
            </w:pPr>
          </w:p>
        </w:tc>
        <w:tc>
          <w:tcPr>
            <w:tcW w:w="6605" w:type="dxa"/>
            <w:gridSpan w:val="3"/>
            <w:tcBorders>
              <w:top w:val="nil"/>
            </w:tcBorders>
          </w:tcPr>
          <w:p w14:paraId="3756183E" w14:textId="77777777" w:rsidR="005E443E" w:rsidRDefault="005E443E">
            <w:pPr>
              <w:rPr>
                <w:rFonts w:ascii="Lato" w:eastAsia="Lato" w:hAnsi="Lato" w:cs="Lato"/>
              </w:rPr>
            </w:pPr>
          </w:p>
        </w:tc>
      </w:tr>
      <w:tr w:rsidR="005E443E" w14:paraId="1C21470E" w14:textId="77777777">
        <w:tc>
          <w:tcPr>
            <w:tcW w:w="3176" w:type="dxa"/>
            <w:vMerge w:val="restart"/>
            <w:shd w:val="clear" w:color="auto" w:fill="D9D9D9"/>
          </w:tcPr>
          <w:p w14:paraId="2203192C"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Nr NIP i REGON</w:t>
            </w:r>
          </w:p>
        </w:tc>
        <w:tc>
          <w:tcPr>
            <w:tcW w:w="3002" w:type="dxa"/>
            <w:tcBorders>
              <w:bottom w:val="nil"/>
            </w:tcBorders>
          </w:tcPr>
          <w:p w14:paraId="6BE96BD9" w14:textId="77777777" w:rsidR="005E443E" w:rsidRDefault="00E4637D">
            <w:pPr>
              <w:pBdr>
                <w:top w:val="nil"/>
                <w:left w:val="nil"/>
                <w:bottom w:val="nil"/>
                <w:right w:val="nil"/>
                <w:between w:val="nil"/>
              </w:pBdr>
              <w:spacing w:after="200" w:line="276" w:lineRule="auto"/>
              <w:jc w:val="left"/>
              <w:rPr>
                <w:rFonts w:ascii="Lato" w:eastAsia="Lato" w:hAnsi="Lato" w:cs="Lato"/>
                <w:color w:val="000000"/>
              </w:rPr>
            </w:pPr>
            <w:r>
              <w:rPr>
                <w:rFonts w:ascii="Lato" w:eastAsia="Lato" w:hAnsi="Lato" w:cs="Lato"/>
                <w:color w:val="000000"/>
              </w:rPr>
              <w:t xml:space="preserve">NIP: </w:t>
            </w:r>
          </w:p>
        </w:tc>
        <w:tc>
          <w:tcPr>
            <w:tcW w:w="3603" w:type="dxa"/>
            <w:gridSpan w:val="2"/>
            <w:tcBorders>
              <w:bottom w:val="nil"/>
            </w:tcBorders>
          </w:tcPr>
          <w:p w14:paraId="74DB4CE1" w14:textId="77777777" w:rsidR="005E443E" w:rsidRDefault="00E4637D">
            <w:pPr>
              <w:pBdr>
                <w:top w:val="nil"/>
                <w:left w:val="nil"/>
                <w:bottom w:val="nil"/>
                <w:right w:val="nil"/>
                <w:between w:val="nil"/>
              </w:pBdr>
              <w:spacing w:after="200" w:line="276" w:lineRule="auto"/>
              <w:jc w:val="left"/>
              <w:rPr>
                <w:rFonts w:ascii="Lato" w:eastAsia="Lato" w:hAnsi="Lato" w:cs="Lato"/>
                <w:color w:val="000000"/>
              </w:rPr>
            </w:pPr>
            <w:r>
              <w:rPr>
                <w:rFonts w:ascii="Lato" w:eastAsia="Lato" w:hAnsi="Lato" w:cs="Lato"/>
                <w:color w:val="000000"/>
              </w:rPr>
              <w:t xml:space="preserve">REGON: </w:t>
            </w:r>
          </w:p>
        </w:tc>
      </w:tr>
      <w:tr w:rsidR="005E443E" w14:paraId="1E2B6A31" w14:textId="77777777">
        <w:trPr>
          <w:trHeight w:val="799"/>
        </w:trPr>
        <w:tc>
          <w:tcPr>
            <w:tcW w:w="3176" w:type="dxa"/>
            <w:vMerge/>
            <w:shd w:val="clear" w:color="auto" w:fill="D9D9D9"/>
          </w:tcPr>
          <w:p w14:paraId="43AFAC8B" w14:textId="77777777" w:rsidR="005E443E" w:rsidRDefault="005E443E">
            <w:pPr>
              <w:widowControl w:val="0"/>
              <w:pBdr>
                <w:top w:val="nil"/>
                <w:left w:val="nil"/>
                <w:bottom w:val="nil"/>
                <w:right w:val="nil"/>
                <w:between w:val="nil"/>
              </w:pBdr>
              <w:spacing w:line="276" w:lineRule="auto"/>
              <w:jc w:val="left"/>
              <w:rPr>
                <w:rFonts w:eastAsia="Calibri"/>
                <w:color w:val="000000"/>
                <w:sz w:val="20"/>
                <w:szCs w:val="20"/>
              </w:rPr>
            </w:pPr>
          </w:p>
        </w:tc>
        <w:tc>
          <w:tcPr>
            <w:tcW w:w="3002" w:type="dxa"/>
            <w:tcBorders>
              <w:top w:val="nil"/>
            </w:tcBorders>
          </w:tcPr>
          <w:p w14:paraId="457B1CC6" w14:textId="77777777" w:rsidR="005E443E" w:rsidRDefault="00906590">
            <w:pPr>
              <w:pBdr>
                <w:top w:val="nil"/>
                <w:left w:val="nil"/>
                <w:bottom w:val="nil"/>
                <w:right w:val="nil"/>
                <w:between w:val="nil"/>
              </w:pBdr>
              <w:spacing w:after="200" w:line="276" w:lineRule="auto"/>
              <w:rPr>
                <w:rFonts w:ascii="Lato" w:eastAsia="Lato" w:hAnsi="Lato" w:cs="Lato"/>
                <w:color w:val="000000"/>
              </w:rPr>
            </w:pPr>
            <w:r>
              <w:rPr>
                <w:rFonts w:ascii="Arial" w:hAnsi="Arial" w:cs="Arial"/>
                <w:color w:val="222222"/>
                <w:sz w:val="19"/>
                <w:szCs w:val="19"/>
                <w:shd w:val="clear" w:color="auto" w:fill="FFFFFF"/>
              </w:rPr>
              <w:t>8971863676</w:t>
            </w:r>
          </w:p>
        </w:tc>
        <w:tc>
          <w:tcPr>
            <w:tcW w:w="3603" w:type="dxa"/>
            <w:gridSpan w:val="2"/>
            <w:tcBorders>
              <w:top w:val="nil"/>
            </w:tcBorders>
          </w:tcPr>
          <w:p w14:paraId="1F0BAE53" w14:textId="77777777" w:rsidR="005E443E" w:rsidRDefault="00906590">
            <w:pPr>
              <w:pBdr>
                <w:top w:val="nil"/>
                <w:left w:val="nil"/>
                <w:bottom w:val="nil"/>
                <w:right w:val="nil"/>
                <w:between w:val="nil"/>
              </w:pBdr>
              <w:spacing w:after="200" w:line="276" w:lineRule="auto"/>
              <w:rPr>
                <w:rFonts w:ascii="Lato" w:eastAsia="Lato" w:hAnsi="Lato" w:cs="Lato"/>
                <w:color w:val="000000"/>
              </w:rPr>
            </w:pPr>
            <w:r>
              <w:rPr>
                <w:color w:val="000000"/>
              </w:rPr>
              <w:t>382524566</w:t>
            </w:r>
          </w:p>
        </w:tc>
      </w:tr>
      <w:tr w:rsidR="005E443E" w14:paraId="0FA00090" w14:textId="77777777">
        <w:trPr>
          <w:trHeight w:val="612"/>
        </w:trPr>
        <w:tc>
          <w:tcPr>
            <w:tcW w:w="3176" w:type="dxa"/>
            <w:shd w:val="clear" w:color="auto" w:fill="D9D9D9"/>
          </w:tcPr>
          <w:p w14:paraId="02958A95"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Nr telefonu</w:t>
            </w:r>
          </w:p>
        </w:tc>
        <w:tc>
          <w:tcPr>
            <w:tcW w:w="6605" w:type="dxa"/>
            <w:gridSpan w:val="3"/>
          </w:tcPr>
          <w:p w14:paraId="3DF2331F"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+48 517170797</w:t>
            </w:r>
          </w:p>
        </w:tc>
      </w:tr>
      <w:tr w:rsidR="005E443E" w14:paraId="0EB3ACF2" w14:textId="77777777">
        <w:trPr>
          <w:trHeight w:val="612"/>
        </w:trPr>
        <w:tc>
          <w:tcPr>
            <w:tcW w:w="3176" w:type="dxa"/>
            <w:shd w:val="clear" w:color="auto" w:fill="D9D9D9"/>
          </w:tcPr>
          <w:p w14:paraId="084245B2"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 poczty elektronicznej</w:t>
            </w:r>
          </w:p>
        </w:tc>
        <w:tc>
          <w:tcPr>
            <w:tcW w:w="6605" w:type="dxa"/>
            <w:gridSpan w:val="3"/>
          </w:tcPr>
          <w:p w14:paraId="717865AC" w14:textId="77777777" w:rsidR="005E443E" w:rsidRDefault="00906590">
            <w:pPr>
              <w:pBdr>
                <w:top w:val="nil"/>
                <w:left w:val="nil"/>
                <w:bottom w:val="nil"/>
                <w:right w:val="nil"/>
                <w:between w:val="nil"/>
              </w:pBdr>
              <w:spacing w:before="30" w:line="276" w:lineRule="auto"/>
              <w:jc w:val="left"/>
              <w:rPr>
                <w:rFonts w:ascii="Lato" w:eastAsia="Lato" w:hAnsi="Lato" w:cs="Lato"/>
                <w:color w:val="000000"/>
              </w:rPr>
            </w:pPr>
            <w:r>
              <w:t>biuro@BrowarJednosci.pl</w:t>
            </w:r>
          </w:p>
          <w:p w14:paraId="32E1778A" w14:textId="77777777" w:rsidR="005E443E" w:rsidRDefault="005E443E">
            <w:pPr>
              <w:pBdr>
                <w:top w:val="nil"/>
                <w:left w:val="nil"/>
                <w:bottom w:val="nil"/>
                <w:right w:val="nil"/>
                <w:between w:val="nil"/>
              </w:pBdr>
              <w:spacing w:after="200" w:line="276" w:lineRule="auto"/>
              <w:jc w:val="left"/>
              <w:rPr>
                <w:rFonts w:ascii="Lato" w:eastAsia="Lato" w:hAnsi="Lato" w:cs="Lato"/>
                <w:color w:val="000000"/>
              </w:rPr>
            </w:pPr>
          </w:p>
        </w:tc>
      </w:tr>
      <w:tr w:rsidR="005E443E" w14:paraId="259976DA" w14:textId="77777777">
        <w:trPr>
          <w:trHeight w:val="612"/>
        </w:trPr>
        <w:tc>
          <w:tcPr>
            <w:tcW w:w="3176" w:type="dxa"/>
            <w:shd w:val="clear" w:color="auto" w:fill="D9D9D9"/>
          </w:tcPr>
          <w:p w14:paraId="1DFE8227"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Nr faksu</w:t>
            </w:r>
          </w:p>
        </w:tc>
        <w:tc>
          <w:tcPr>
            <w:tcW w:w="6605" w:type="dxa"/>
            <w:gridSpan w:val="3"/>
          </w:tcPr>
          <w:p w14:paraId="47D3DB86"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rPr>
                <w:rFonts w:ascii="Lato" w:eastAsia="Lato" w:hAnsi="Lato" w:cs="Lato"/>
                <w:color w:val="000000"/>
              </w:rPr>
              <w:t>brak</w:t>
            </w:r>
          </w:p>
        </w:tc>
      </w:tr>
      <w:tr w:rsidR="005E443E" w14:paraId="0753B528" w14:textId="77777777">
        <w:trPr>
          <w:trHeight w:val="612"/>
        </w:trPr>
        <w:tc>
          <w:tcPr>
            <w:tcW w:w="3176" w:type="dxa"/>
            <w:tcBorders>
              <w:bottom w:val="single" w:sz="4" w:space="0" w:color="000000"/>
            </w:tcBorders>
            <w:shd w:val="clear" w:color="auto" w:fill="D9D9D9"/>
          </w:tcPr>
          <w:p w14:paraId="0B715480"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 strony internetowej dewelopera</w:t>
            </w:r>
          </w:p>
        </w:tc>
        <w:tc>
          <w:tcPr>
            <w:tcW w:w="6605" w:type="dxa"/>
            <w:gridSpan w:val="3"/>
            <w:tcBorders>
              <w:bottom w:val="single" w:sz="4" w:space="0" w:color="000000"/>
            </w:tcBorders>
          </w:tcPr>
          <w:p w14:paraId="15C37B09"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BrowarJednosci.pl</w:t>
            </w:r>
          </w:p>
        </w:tc>
      </w:tr>
      <w:tr w:rsidR="005E443E" w14:paraId="37AE505D" w14:textId="77777777">
        <w:trPr>
          <w:trHeight w:val="612"/>
        </w:trPr>
        <w:tc>
          <w:tcPr>
            <w:tcW w:w="9781" w:type="dxa"/>
            <w:gridSpan w:val="4"/>
            <w:tcBorders>
              <w:left w:val="nil"/>
              <w:right w:val="nil"/>
            </w:tcBorders>
            <w:shd w:val="clear" w:color="auto" w:fill="auto"/>
          </w:tcPr>
          <w:p w14:paraId="31596B71" w14:textId="77777777" w:rsidR="005E443E" w:rsidRDefault="005E443E">
            <w:pPr>
              <w:rPr>
                <w:rFonts w:ascii="Lato" w:eastAsia="Lato" w:hAnsi="Lato" w:cs="Lato"/>
                <w:b/>
              </w:rPr>
            </w:pPr>
          </w:p>
          <w:p w14:paraId="4E7B9276" w14:textId="77777777" w:rsidR="005E443E" w:rsidRDefault="005E443E">
            <w:pPr>
              <w:rPr>
                <w:rFonts w:ascii="Lato" w:eastAsia="Lato" w:hAnsi="Lato" w:cs="Lato"/>
                <w:b/>
              </w:rPr>
            </w:pPr>
          </w:p>
          <w:p w14:paraId="75AE8C7C" w14:textId="77777777" w:rsidR="005E443E" w:rsidRDefault="005E443E">
            <w:pPr>
              <w:rPr>
                <w:rFonts w:ascii="Lato" w:eastAsia="Lato" w:hAnsi="Lato" w:cs="Lato"/>
                <w:b/>
              </w:rPr>
            </w:pPr>
          </w:p>
          <w:p w14:paraId="44506629" w14:textId="77777777" w:rsidR="005E443E" w:rsidRDefault="005E443E">
            <w:pPr>
              <w:rPr>
                <w:rFonts w:ascii="Lato" w:eastAsia="Lato" w:hAnsi="Lato" w:cs="Lato"/>
                <w:b/>
              </w:rPr>
            </w:pPr>
          </w:p>
          <w:p w14:paraId="5B6C0923" w14:textId="77777777" w:rsidR="005E443E" w:rsidRDefault="005E443E">
            <w:pPr>
              <w:rPr>
                <w:rFonts w:ascii="Lato" w:eastAsia="Lato" w:hAnsi="Lato" w:cs="Lato"/>
                <w:b/>
              </w:rPr>
            </w:pPr>
          </w:p>
          <w:p w14:paraId="5AA7602D" w14:textId="77777777" w:rsidR="005E443E" w:rsidRDefault="005E443E">
            <w:pPr>
              <w:rPr>
                <w:rFonts w:ascii="Lato" w:eastAsia="Lato" w:hAnsi="Lato" w:cs="Lato"/>
                <w:b/>
              </w:rPr>
            </w:pPr>
          </w:p>
          <w:p w14:paraId="62217DBB" w14:textId="77777777" w:rsidR="005E443E" w:rsidRDefault="005E443E">
            <w:pPr>
              <w:rPr>
                <w:rFonts w:ascii="Lato" w:eastAsia="Lato" w:hAnsi="Lato" w:cs="Lato"/>
                <w:b/>
              </w:rPr>
            </w:pPr>
          </w:p>
          <w:p w14:paraId="39E1518A" w14:textId="77777777" w:rsidR="005E443E" w:rsidRDefault="005E443E">
            <w:pPr>
              <w:rPr>
                <w:rFonts w:ascii="Lato" w:eastAsia="Lato" w:hAnsi="Lato" w:cs="Lato"/>
                <w:b/>
              </w:rPr>
            </w:pPr>
          </w:p>
          <w:p w14:paraId="1401F679" w14:textId="77777777" w:rsidR="005E443E" w:rsidRDefault="005E443E">
            <w:pPr>
              <w:rPr>
                <w:rFonts w:ascii="Lato" w:eastAsia="Lato" w:hAnsi="Lato" w:cs="Lato"/>
                <w:b/>
              </w:rPr>
            </w:pPr>
          </w:p>
          <w:p w14:paraId="2A59438B" w14:textId="77777777" w:rsidR="005E443E" w:rsidRDefault="005E443E">
            <w:pPr>
              <w:rPr>
                <w:rFonts w:ascii="Lato" w:eastAsia="Lato" w:hAnsi="Lato" w:cs="Lato"/>
                <w:b/>
              </w:rPr>
            </w:pPr>
          </w:p>
          <w:p w14:paraId="3D80FF31" w14:textId="77777777" w:rsidR="005E443E" w:rsidRDefault="00E4637D">
            <w:pPr>
              <w:jc w:val="left"/>
              <w:rPr>
                <w:rFonts w:ascii="Lato" w:eastAsia="Lato" w:hAnsi="Lato" w:cs="Lato"/>
                <w:b/>
              </w:rPr>
            </w:pPr>
            <w:r>
              <w:rPr>
                <w:rFonts w:ascii="Lato" w:eastAsia="Lato" w:hAnsi="Lato" w:cs="Lato"/>
                <w:b/>
              </w:rPr>
              <w:t>II. DOŚWIADCZENIE DEWELOPERA</w:t>
            </w:r>
          </w:p>
          <w:p w14:paraId="18CAD085" w14:textId="77777777" w:rsidR="006379BF" w:rsidRPr="006379BF" w:rsidRDefault="006379BF" w:rsidP="006379BF">
            <w:pPr>
              <w:rPr>
                <w:rFonts w:ascii="Lato" w:eastAsia="Lato" w:hAnsi="Lato" w:cs="Lato"/>
              </w:rPr>
            </w:pPr>
          </w:p>
        </w:tc>
      </w:tr>
      <w:tr w:rsidR="005E443E" w14:paraId="060A47A8" w14:textId="77777777">
        <w:trPr>
          <w:trHeight w:val="2206"/>
        </w:trPr>
        <w:tc>
          <w:tcPr>
            <w:tcW w:w="9781" w:type="dxa"/>
            <w:gridSpan w:val="4"/>
            <w:shd w:val="clear" w:color="auto" w:fill="BFBFBF"/>
          </w:tcPr>
          <w:p w14:paraId="354DD5A7" w14:textId="77777777" w:rsidR="005E443E" w:rsidRDefault="00E4637D">
            <w:pPr>
              <w:pBdr>
                <w:top w:val="nil"/>
                <w:left w:val="nil"/>
                <w:bottom w:val="nil"/>
                <w:right w:val="nil"/>
                <w:between w:val="nil"/>
              </w:pBdr>
              <w:spacing w:before="120" w:after="200" w:line="276" w:lineRule="auto"/>
              <w:jc w:val="left"/>
              <w:rPr>
                <w:rFonts w:ascii="Lato" w:eastAsia="Lato" w:hAnsi="Lato" w:cs="Lato"/>
                <w:b/>
                <w:color w:val="000000"/>
              </w:rPr>
            </w:pPr>
            <w:r>
              <w:rPr>
                <w:rFonts w:ascii="Lato" w:eastAsia="Lato" w:hAnsi="Lato" w:cs="Lato"/>
                <w:b/>
                <w:color w:val="000000"/>
              </w:rPr>
              <w:lastRenderedPageBreak/>
              <w:t>HISTORIA I UDOKUMENTOWANE DOŚWIADCZENIE DEWELOPERA</w:t>
            </w:r>
          </w:p>
        </w:tc>
      </w:tr>
      <w:tr w:rsidR="005E443E" w14:paraId="62CAE0FA" w14:textId="77777777">
        <w:trPr>
          <w:trHeight w:val="2206"/>
        </w:trPr>
        <w:tc>
          <w:tcPr>
            <w:tcW w:w="9781" w:type="dxa"/>
            <w:gridSpan w:val="4"/>
            <w:shd w:val="clear" w:color="auto" w:fill="BFBFBF"/>
          </w:tcPr>
          <w:p w14:paraId="536B9F4B" w14:textId="77777777" w:rsidR="005E443E" w:rsidRDefault="00E4637D">
            <w:pPr>
              <w:pBdr>
                <w:top w:val="nil"/>
                <w:left w:val="nil"/>
                <w:bottom w:val="nil"/>
                <w:right w:val="nil"/>
                <w:between w:val="nil"/>
              </w:pBdr>
              <w:spacing w:before="120" w:after="200" w:line="276" w:lineRule="auto"/>
              <w:jc w:val="both"/>
              <w:rPr>
                <w:rFonts w:ascii="Lato" w:eastAsia="Lato" w:hAnsi="Lato" w:cs="Lato"/>
                <w:b/>
                <w:color w:val="000000"/>
              </w:rPr>
            </w:pPr>
            <w:r>
              <w:rPr>
                <w:rFonts w:ascii="Lato" w:eastAsia="Lato" w:hAnsi="Lato" w:cs="Lato"/>
                <w:b/>
                <w:color w:val="000000"/>
              </w:rPr>
              <w:t>PRZYKŁAD UKOŃCZONEGO PRZEDSIĘWZIĘCIA DEWELOPERSKIEGO (należy wskazać (o ile istnieją) trzy ukończone przedsięwzięcia deweloperskie, w tym ostatnie)</w:t>
            </w:r>
          </w:p>
        </w:tc>
      </w:tr>
    </w:tbl>
    <w:p w14:paraId="1C25C3C5" w14:textId="77777777" w:rsidR="005E443E" w:rsidRDefault="005E443E">
      <w:pPr>
        <w:rPr>
          <w:rFonts w:ascii="Lato" w:eastAsia="Lato" w:hAnsi="Lato" w:cs="Lato"/>
          <w:b/>
        </w:rPr>
      </w:pPr>
    </w:p>
    <w:tbl>
      <w:tblPr>
        <w:tblStyle w:val="a0"/>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605"/>
      </w:tblGrid>
      <w:tr w:rsidR="005E443E" w14:paraId="253C9A9C" w14:textId="77777777">
        <w:trPr>
          <w:trHeight w:val="612"/>
        </w:trPr>
        <w:tc>
          <w:tcPr>
            <w:tcW w:w="3176" w:type="dxa"/>
            <w:shd w:val="clear" w:color="auto" w:fill="D9D9D9"/>
          </w:tcPr>
          <w:p w14:paraId="6FD41416"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w:t>
            </w:r>
          </w:p>
        </w:tc>
        <w:tc>
          <w:tcPr>
            <w:tcW w:w="6605" w:type="dxa"/>
            <w:tcBorders>
              <w:bottom w:val="single" w:sz="4" w:space="0" w:color="000000"/>
            </w:tcBorders>
          </w:tcPr>
          <w:p w14:paraId="361380AF"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18830024" w14:textId="77777777">
        <w:trPr>
          <w:trHeight w:val="612"/>
        </w:trPr>
        <w:tc>
          <w:tcPr>
            <w:tcW w:w="3176" w:type="dxa"/>
            <w:shd w:val="clear" w:color="auto" w:fill="D9D9D9"/>
          </w:tcPr>
          <w:p w14:paraId="21040EC4"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Data rozpoczęcia</w:t>
            </w:r>
          </w:p>
        </w:tc>
        <w:tc>
          <w:tcPr>
            <w:tcW w:w="6605" w:type="dxa"/>
            <w:tcBorders>
              <w:bottom w:val="single" w:sz="4" w:space="0" w:color="000000"/>
            </w:tcBorders>
          </w:tcPr>
          <w:p w14:paraId="33B7429B"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3C5D9C93" w14:textId="77777777">
        <w:trPr>
          <w:trHeight w:val="612"/>
        </w:trPr>
        <w:tc>
          <w:tcPr>
            <w:tcW w:w="3176" w:type="dxa"/>
            <w:shd w:val="clear" w:color="auto" w:fill="D9D9D9"/>
          </w:tcPr>
          <w:p w14:paraId="74A911A8" w14:textId="77777777" w:rsidR="005E443E" w:rsidRDefault="00E4637D" w:rsidP="00427AB5">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 xml:space="preserve">Data wydania </w:t>
            </w:r>
            <w:r w:rsidR="00427AB5">
              <w:rPr>
                <w:rFonts w:ascii="Lato" w:eastAsia="Lato" w:hAnsi="Lato" w:cs="Lato"/>
                <w:color w:val="000000"/>
              </w:rPr>
              <w:t xml:space="preserve">decyzji </w:t>
            </w:r>
            <w:r>
              <w:rPr>
                <w:rFonts w:ascii="Lato" w:eastAsia="Lato" w:hAnsi="Lato" w:cs="Lato"/>
                <w:color w:val="000000"/>
              </w:rPr>
              <w:t>o pozwoleni</w:t>
            </w:r>
            <w:r w:rsidR="00427AB5">
              <w:rPr>
                <w:rFonts w:ascii="Lato" w:eastAsia="Lato" w:hAnsi="Lato" w:cs="Lato"/>
                <w:color w:val="000000"/>
              </w:rPr>
              <w:t>u</w:t>
            </w:r>
            <w:r>
              <w:rPr>
                <w:rFonts w:ascii="Lato" w:eastAsia="Lato" w:hAnsi="Lato" w:cs="Lato"/>
                <w:color w:val="000000"/>
              </w:rPr>
              <w:t xml:space="preserve"> na użytkowanie</w:t>
            </w:r>
          </w:p>
        </w:tc>
        <w:tc>
          <w:tcPr>
            <w:tcW w:w="6605" w:type="dxa"/>
          </w:tcPr>
          <w:p w14:paraId="15175D29"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0AC1EA77" w14:textId="77777777">
        <w:trPr>
          <w:trHeight w:val="1452"/>
        </w:trPr>
        <w:tc>
          <w:tcPr>
            <w:tcW w:w="9781" w:type="dxa"/>
            <w:gridSpan w:val="2"/>
            <w:tcBorders>
              <w:bottom w:val="single" w:sz="4" w:space="0" w:color="000000"/>
            </w:tcBorders>
            <w:shd w:val="clear" w:color="auto" w:fill="BFBFBF"/>
          </w:tcPr>
          <w:p w14:paraId="6E4C9375" w14:textId="77777777" w:rsidR="005E443E" w:rsidRDefault="00E4637D">
            <w:pPr>
              <w:pBdr>
                <w:top w:val="nil"/>
                <w:left w:val="nil"/>
                <w:bottom w:val="nil"/>
                <w:right w:val="nil"/>
                <w:between w:val="nil"/>
              </w:pBdr>
              <w:spacing w:before="120" w:after="200" w:line="276" w:lineRule="auto"/>
              <w:jc w:val="left"/>
              <w:rPr>
                <w:rFonts w:ascii="Lato" w:eastAsia="Lato" w:hAnsi="Lato" w:cs="Lato"/>
                <w:b/>
                <w:color w:val="000000"/>
              </w:rPr>
            </w:pPr>
            <w:r>
              <w:rPr>
                <w:rFonts w:ascii="Lato" w:eastAsia="Lato" w:hAnsi="Lato" w:cs="Lato"/>
                <w:b/>
                <w:color w:val="000000"/>
              </w:rPr>
              <w:t>PRZYKŁAD INNEGO UKOŃCZONEGO PRZEDSIĘWZIĘCIA DEWELOPERSKIEGO</w:t>
            </w:r>
          </w:p>
        </w:tc>
      </w:tr>
      <w:tr w:rsidR="005E443E" w14:paraId="24D3CDD6" w14:textId="77777777">
        <w:trPr>
          <w:trHeight w:val="612"/>
        </w:trPr>
        <w:tc>
          <w:tcPr>
            <w:tcW w:w="3176" w:type="dxa"/>
            <w:tcBorders>
              <w:bottom w:val="single" w:sz="4" w:space="0" w:color="000000"/>
            </w:tcBorders>
            <w:shd w:val="clear" w:color="auto" w:fill="D9D9D9"/>
          </w:tcPr>
          <w:p w14:paraId="4C4C8D8E"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w:t>
            </w:r>
          </w:p>
        </w:tc>
        <w:tc>
          <w:tcPr>
            <w:tcW w:w="6605" w:type="dxa"/>
            <w:tcBorders>
              <w:bottom w:val="single" w:sz="4" w:space="0" w:color="000000"/>
            </w:tcBorders>
          </w:tcPr>
          <w:p w14:paraId="2FDF4E83"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31493918" w14:textId="77777777">
        <w:trPr>
          <w:trHeight w:val="612"/>
        </w:trPr>
        <w:tc>
          <w:tcPr>
            <w:tcW w:w="3176" w:type="dxa"/>
            <w:tcBorders>
              <w:bottom w:val="single" w:sz="4" w:space="0" w:color="000000"/>
            </w:tcBorders>
            <w:shd w:val="clear" w:color="auto" w:fill="D9D9D9"/>
          </w:tcPr>
          <w:p w14:paraId="6C8C40D7"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Data rozpoczęcia</w:t>
            </w:r>
          </w:p>
        </w:tc>
        <w:tc>
          <w:tcPr>
            <w:tcW w:w="6605" w:type="dxa"/>
            <w:tcBorders>
              <w:bottom w:val="single" w:sz="4" w:space="0" w:color="000000"/>
            </w:tcBorders>
          </w:tcPr>
          <w:p w14:paraId="5BA0577D"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443A24C7" w14:textId="77777777">
        <w:trPr>
          <w:trHeight w:val="612"/>
        </w:trPr>
        <w:tc>
          <w:tcPr>
            <w:tcW w:w="3176" w:type="dxa"/>
            <w:tcBorders>
              <w:bottom w:val="single" w:sz="4" w:space="0" w:color="000000"/>
            </w:tcBorders>
            <w:shd w:val="clear" w:color="auto" w:fill="D9D9D9"/>
          </w:tcPr>
          <w:p w14:paraId="612009A9" w14:textId="77777777" w:rsidR="005E443E" w:rsidRDefault="00E4637D" w:rsidP="00427AB5">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 xml:space="preserve">Data wydania </w:t>
            </w:r>
            <w:r w:rsidR="00427AB5">
              <w:rPr>
                <w:rFonts w:ascii="Lato" w:eastAsia="Lato" w:hAnsi="Lato" w:cs="Lato"/>
                <w:color w:val="000000"/>
              </w:rPr>
              <w:t xml:space="preserve">decyzji </w:t>
            </w:r>
            <w:r>
              <w:rPr>
                <w:rFonts w:ascii="Lato" w:eastAsia="Lato" w:hAnsi="Lato" w:cs="Lato"/>
                <w:color w:val="000000"/>
              </w:rPr>
              <w:t>o pozwoleni</w:t>
            </w:r>
            <w:r w:rsidR="00427AB5">
              <w:rPr>
                <w:rFonts w:ascii="Lato" w:eastAsia="Lato" w:hAnsi="Lato" w:cs="Lato"/>
                <w:color w:val="000000"/>
              </w:rPr>
              <w:t>u</w:t>
            </w:r>
            <w:r>
              <w:rPr>
                <w:rFonts w:ascii="Lato" w:eastAsia="Lato" w:hAnsi="Lato" w:cs="Lato"/>
                <w:color w:val="000000"/>
              </w:rPr>
              <w:t xml:space="preserve"> na użytkowanie</w:t>
            </w:r>
          </w:p>
        </w:tc>
        <w:tc>
          <w:tcPr>
            <w:tcW w:w="6605" w:type="dxa"/>
            <w:tcBorders>
              <w:bottom w:val="single" w:sz="4" w:space="0" w:color="000000"/>
            </w:tcBorders>
          </w:tcPr>
          <w:p w14:paraId="251F7E39"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282F7737" w14:textId="77777777">
        <w:trPr>
          <w:trHeight w:val="1452"/>
        </w:trPr>
        <w:tc>
          <w:tcPr>
            <w:tcW w:w="9781" w:type="dxa"/>
            <w:gridSpan w:val="2"/>
            <w:tcBorders>
              <w:bottom w:val="single" w:sz="4" w:space="0" w:color="000000"/>
            </w:tcBorders>
            <w:shd w:val="clear" w:color="auto" w:fill="BFBFBF"/>
          </w:tcPr>
          <w:p w14:paraId="05A1B87E" w14:textId="77777777" w:rsidR="005E443E" w:rsidRDefault="00E4637D">
            <w:pPr>
              <w:pBdr>
                <w:top w:val="nil"/>
                <w:left w:val="nil"/>
                <w:bottom w:val="nil"/>
                <w:right w:val="nil"/>
                <w:between w:val="nil"/>
              </w:pBdr>
              <w:spacing w:before="120" w:after="200" w:line="276" w:lineRule="auto"/>
              <w:jc w:val="left"/>
              <w:rPr>
                <w:rFonts w:ascii="Lato" w:eastAsia="Lato" w:hAnsi="Lato" w:cs="Lato"/>
                <w:b/>
                <w:color w:val="000000"/>
              </w:rPr>
            </w:pPr>
            <w:r>
              <w:rPr>
                <w:rFonts w:ascii="Lato" w:eastAsia="Lato" w:hAnsi="Lato" w:cs="Lato"/>
                <w:b/>
                <w:color w:val="000000"/>
              </w:rPr>
              <w:t>OSTATNIE UKOŃCZONE PRZEDSIĘWZIĘCIE DEWELOPERSKIE</w:t>
            </w:r>
          </w:p>
        </w:tc>
      </w:tr>
      <w:tr w:rsidR="005E443E" w14:paraId="6EDA08D1" w14:textId="77777777">
        <w:trPr>
          <w:trHeight w:val="612"/>
        </w:trPr>
        <w:tc>
          <w:tcPr>
            <w:tcW w:w="3176" w:type="dxa"/>
            <w:tcBorders>
              <w:bottom w:val="single" w:sz="4" w:space="0" w:color="000000"/>
            </w:tcBorders>
            <w:shd w:val="clear" w:color="auto" w:fill="D9D9D9"/>
          </w:tcPr>
          <w:p w14:paraId="3FFD50B9"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w:t>
            </w:r>
          </w:p>
        </w:tc>
        <w:tc>
          <w:tcPr>
            <w:tcW w:w="6605" w:type="dxa"/>
            <w:tcBorders>
              <w:bottom w:val="single" w:sz="4" w:space="0" w:color="000000"/>
            </w:tcBorders>
          </w:tcPr>
          <w:p w14:paraId="740E9794"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4389D1CD" w14:textId="77777777">
        <w:trPr>
          <w:trHeight w:val="612"/>
        </w:trPr>
        <w:tc>
          <w:tcPr>
            <w:tcW w:w="3176" w:type="dxa"/>
            <w:tcBorders>
              <w:bottom w:val="single" w:sz="4" w:space="0" w:color="000000"/>
            </w:tcBorders>
            <w:shd w:val="clear" w:color="auto" w:fill="D9D9D9"/>
          </w:tcPr>
          <w:p w14:paraId="3D91241A"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Data rozpoczęcia</w:t>
            </w:r>
          </w:p>
        </w:tc>
        <w:tc>
          <w:tcPr>
            <w:tcW w:w="6605" w:type="dxa"/>
            <w:tcBorders>
              <w:bottom w:val="single" w:sz="4" w:space="0" w:color="000000"/>
            </w:tcBorders>
          </w:tcPr>
          <w:p w14:paraId="0422BBC3" w14:textId="77777777" w:rsidR="005E443E" w:rsidRDefault="00906590" w:rsidP="00906590">
            <w:pPr>
              <w:jc w:val="left"/>
              <w:rPr>
                <w:rFonts w:ascii="Lato" w:eastAsia="Lato" w:hAnsi="Lato" w:cs="Lato"/>
              </w:rPr>
            </w:pPr>
            <w:r>
              <w:t>Nie dotyczy</w:t>
            </w:r>
          </w:p>
        </w:tc>
      </w:tr>
      <w:tr w:rsidR="005E443E" w14:paraId="481D026E" w14:textId="77777777">
        <w:trPr>
          <w:trHeight w:val="612"/>
        </w:trPr>
        <w:tc>
          <w:tcPr>
            <w:tcW w:w="3176" w:type="dxa"/>
            <w:tcBorders>
              <w:bottom w:val="single" w:sz="4" w:space="0" w:color="000000"/>
            </w:tcBorders>
            <w:shd w:val="clear" w:color="auto" w:fill="D9D9D9"/>
          </w:tcPr>
          <w:p w14:paraId="19427486" w14:textId="77777777" w:rsidR="005E443E" w:rsidRDefault="00E4637D" w:rsidP="00427AB5">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lastRenderedPageBreak/>
              <w:t xml:space="preserve">Data wydania </w:t>
            </w:r>
            <w:r w:rsidR="00427AB5">
              <w:rPr>
                <w:rFonts w:ascii="Lato" w:eastAsia="Lato" w:hAnsi="Lato" w:cs="Lato"/>
                <w:color w:val="000000"/>
              </w:rPr>
              <w:t xml:space="preserve">decyzji </w:t>
            </w:r>
            <w:r>
              <w:rPr>
                <w:rFonts w:ascii="Lato" w:eastAsia="Lato" w:hAnsi="Lato" w:cs="Lato"/>
                <w:color w:val="000000"/>
              </w:rPr>
              <w:t>o pozwoleni</w:t>
            </w:r>
            <w:r w:rsidR="00427AB5">
              <w:rPr>
                <w:rFonts w:ascii="Lato" w:eastAsia="Lato" w:hAnsi="Lato" w:cs="Lato"/>
                <w:color w:val="000000"/>
              </w:rPr>
              <w:t>u</w:t>
            </w:r>
            <w:r>
              <w:rPr>
                <w:rFonts w:ascii="Lato" w:eastAsia="Lato" w:hAnsi="Lato" w:cs="Lato"/>
                <w:color w:val="000000"/>
              </w:rPr>
              <w:t xml:space="preserve"> na użytkowanie</w:t>
            </w:r>
          </w:p>
        </w:tc>
        <w:tc>
          <w:tcPr>
            <w:tcW w:w="6605" w:type="dxa"/>
            <w:tcBorders>
              <w:bottom w:val="single" w:sz="4" w:space="0" w:color="000000"/>
            </w:tcBorders>
          </w:tcPr>
          <w:p w14:paraId="257D045C" w14:textId="77777777" w:rsidR="005E443E" w:rsidRDefault="00906590">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5E443E" w14:paraId="585E49E0" w14:textId="77777777">
        <w:trPr>
          <w:trHeight w:val="612"/>
        </w:trPr>
        <w:tc>
          <w:tcPr>
            <w:tcW w:w="9781" w:type="dxa"/>
            <w:gridSpan w:val="2"/>
            <w:tcBorders>
              <w:left w:val="nil"/>
              <w:bottom w:val="single" w:sz="4" w:space="0" w:color="000000"/>
              <w:right w:val="nil"/>
            </w:tcBorders>
            <w:shd w:val="clear" w:color="auto" w:fill="auto"/>
          </w:tcPr>
          <w:p w14:paraId="1BF31AF8" w14:textId="77777777" w:rsidR="005E443E" w:rsidRDefault="005E443E">
            <w:pPr>
              <w:pBdr>
                <w:top w:val="nil"/>
                <w:left w:val="nil"/>
                <w:bottom w:val="nil"/>
                <w:right w:val="nil"/>
                <w:between w:val="nil"/>
              </w:pBdr>
              <w:spacing w:after="200" w:line="276" w:lineRule="auto"/>
              <w:jc w:val="left"/>
              <w:rPr>
                <w:rFonts w:ascii="Lato" w:eastAsia="Lato" w:hAnsi="Lato" w:cs="Lato"/>
                <w:color w:val="000000"/>
              </w:rPr>
            </w:pPr>
          </w:p>
        </w:tc>
      </w:tr>
      <w:tr w:rsidR="005E443E" w14:paraId="30DD0A0B" w14:textId="77777777">
        <w:trPr>
          <w:trHeight w:val="612"/>
        </w:trPr>
        <w:tc>
          <w:tcPr>
            <w:tcW w:w="3176" w:type="dxa"/>
            <w:tcBorders>
              <w:bottom w:val="single" w:sz="4" w:space="0" w:color="000000"/>
            </w:tcBorders>
            <w:shd w:val="clear" w:color="auto" w:fill="D9D9D9"/>
          </w:tcPr>
          <w:p w14:paraId="3444EF8A" w14:textId="77777777" w:rsidR="005E443E" w:rsidRDefault="00E4637D">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Czy przeciwko deweloperowi prowadzono (lub prowadzi  się) postępowania egzekucyjne na kwotę powyżej 100 000 zł</w:t>
            </w:r>
          </w:p>
        </w:tc>
        <w:tc>
          <w:tcPr>
            <w:tcW w:w="6605" w:type="dxa"/>
            <w:tcBorders>
              <w:bottom w:val="single" w:sz="4" w:space="0" w:color="000000"/>
            </w:tcBorders>
          </w:tcPr>
          <w:p w14:paraId="53A660D1" w14:textId="77777777" w:rsidR="005E443E" w:rsidRDefault="00906590">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nie</w:t>
            </w:r>
          </w:p>
        </w:tc>
      </w:tr>
    </w:tbl>
    <w:p w14:paraId="2AD712DA" w14:textId="77777777" w:rsidR="005E443E" w:rsidRDefault="005E443E">
      <w:pPr>
        <w:rPr>
          <w:rFonts w:ascii="Lato" w:eastAsia="Lato" w:hAnsi="Lato" w:cs="Lato"/>
          <w:b/>
        </w:rPr>
      </w:pPr>
    </w:p>
    <w:p w14:paraId="17FAFA48" w14:textId="77777777" w:rsidR="005E443E" w:rsidRDefault="005E443E">
      <w:pPr>
        <w:rPr>
          <w:rFonts w:ascii="Lato" w:eastAsia="Lato" w:hAnsi="Lato" w:cs="Lato"/>
          <w:b/>
        </w:rPr>
      </w:pPr>
    </w:p>
    <w:tbl>
      <w:tblPr>
        <w:tblStyle w:val="a1"/>
        <w:tblW w:w="101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1095"/>
        <w:gridCol w:w="2181"/>
        <w:gridCol w:w="256"/>
        <w:gridCol w:w="19"/>
        <w:gridCol w:w="2523"/>
        <w:gridCol w:w="1286"/>
      </w:tblGrid>
      <w:tr w:rsidR="006C336E" w14:paraId="16936C3B" w14:textId="77777777" w:rsidTr="00BD3DE0">
        <w:trPr>
          <w:trHeight w:val="612"/>
        </w:trPr>
        <w:tc>
          <w:tcPr>
            <w:tcW w:w="10123" w:type="dxa"/>
            <w:gridSpan w:val="7"/>
            <w:tcBorders>
              <w:top w:val="nil"/>
              <w:left w:val="nil"/>
              <w:right w:val="nil"/>
            </w:tcBorders>
            <w:shd w:val="clear" w:color="auto" w:fill="auto"/>
          </w:tcPr>
          <w:p w14:paraId="126061C5" w14:textId="77777777" w:rsidR="006C336E" w:rsidRDefault="006C336E">
            <w:pPr>
              <w:jc w:val="left"/>
              <w:rPr>
                <w:rFonts w:ascii="Lato" w:eastAsia="Lato" w:hAnsi="Lato" w:cs="Lato"/>
                <w:b/>
              </w:rPr>
            </w:pPr>
            <w:r>
              <w:rPr>
                <w:rFonts w:ascii="Lato" w:eastAsia="Lato" w:hAnsi="Lato" w:cs="Lato"/>
                <w:b/>
              </w:rPr>
              <w:t>III. INFORMACJE DOTYCZĄCE NIERUCHOMOŚCI I PRZEDSIĘWZIĘCIA DEWELOPERSKIEGO</w:t>
            </w:r>
          </w:p>
        </w:tc>
      </w:tr>
      <w:tr w:rsidR="006C336E" w14:paraId="48EF2AD5" w14:textId="77777777" w:rsidTr="00BD3DE0">
        <w:trPr>
          <w:trHeight w:val="799"/>
        </w:trPr>
        <w:tc>
          <w:tcPr>
            <w:tcW w:w="10123" w:type="dxa"/>
            <w:gridSpan w:val="7"/>
            <w:shd w:val="clear" w:color="auto" w:fill="BFBFBF"/>
          </w:tcPr>
          <w:p w14:paraId="30ABC69C" w14:textId="77777777" w:rsidR="006C336E" w:rsidRDefault="006C336E">
            <w:pPr>
              <w:pBdr>
                <w:top w:val="nil"/>
                <w:left w:val="nil"/>
                <w:bottom w:val="nil"/>
                <w:right w:val="nil"/>
                <w:between w:val="nil"/>
              </w:pBdr>
              <w:spacing w:before="120" w:after="200" w:line="276" w:lineRule="auto"/>
              <w:jc w:val="left"/>
              <w:rPr>
                <w:rFonts w:ascii="Lato" w:eastAsia="Lato" w:hAnsi="Lato" w:cs="Lato"/>
                <w:b/>
                <w:color w:val="000000"/>
              </w:rPr>
            </w:pPr>
            <w:r>
              <w:rPr>
                <w:rFonts w:ascii="Lato" w:eastAsia="Lato" w:hAnsi="Lato" w:cs="Lato"/>
                <w:b/>
                <w:color w:val="000000"/>
              </w:rPr>
              <w:t>INFORMACJE DOTYCZĄCE GRUNTU I ZAGOSPODAROWANIA PRZESTRZENNEGO TERENU</w:t>
            </w:r>
          </w:p>
        </w:tc>
      </w:tr>
      <w:tr w:rsidR="006C336E" w14:paraId="14F0C462" w14:textId="77777777" w:rsidTr="00BD3DE0">
        <w:trPr>
          <w:trHeight w:val="612"/>
        </w:trPr>
        <w:tc>
          <w:tcPr>
            <w:tcW w:w="2763" w:type="dxa"/>
            <w:shd w:val="clear" w:color="auto" w:fill="D9D9D9"/>
          </w:tcPr>
          <w:p w14:paraId="6F7BF19E" w14:textId="77777777" w:rsidR="00A863BA" w:rsidRDefault="006C336E">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Adres i numer działki ewidencyjnej i numer obrębu ewidencyjnego</w:t>
            </w:r>
          </w:p>
          <w:p w14:paraId="7ABCFEE8" w14:textId="2A16E60B" w:rsidR="006B30D8" w:rsidRDefault="006B30D8">
            <w:pPr>
              <w:pBdr>
                <w:top w:val="nil"/>
                <w:left w:val="nil"/>
                <w:bottom w:val="nil"/>
                <w:right w:val="nil"/>
                <w:between w:val="nil"/>
              </w:pBdr>
              <w:spacing w:before="40" w:after="200" w:line="276" w:lineRule="auto"/>
              <w:jc w:val="left"/>
              <w:rPr>
                <w:rFonts w:ascii="Lato" w:eastAsia="Lato" w:hAnsi="Lato" w:cs="Lato"/>
                <w:color w:val="000000"/>
              </w:rPr>
            </w:pPr>
            <w:r w:rsidRPr="000A2679">
              <w:rPr>
                <w:rFonts w:ascii="Lato" w:eastAsia="Lato" w:hAnsi="Lato" w:cs="Lato"/>
                <w:color w:val="000000"/>
                <w:sz w:val="18"/>
              </w:rPr>
              <w:t>(Aktualizacja 29.03.2024 r.)</w:t>
            </w:r>
          </w:p>
          <w:p w14:paraId="1A4B1741" w14:textId="6C95442B" w:rsidR="006C336E" w:rsidRDefault="006C336E">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vertAlign w:val="superscript"/>
              </w:rPr>
              <w:footnoteReference w:id="2"/>
            </w:r>
          </w:p>
        </w:tc>
        <w:tc>
          <w:tcPr>
            <w:tcW w:w="7360" w:type="dxa"/>
            <w:gridSpan w:val="6"/>
          </w:tcPr>
          <w:p w14:paraId="4DC7E557" w14:textId="71E24E8C" w:rsidR="006C336E" w:rsidRDefault="006C336E">
            <w:pPr>
              <w:pBdr>
                <w:top w:val="nil"/>
                <w:left w:val="nil"/>
                <w:bottom w:val="nil"/>
                <w:right w:val="nil"/>
                <w:between w:val="nil"/>
              </w:pBdr>
              <w:spacing w:after="200" w:line="276" w:lineRule="auto"/>
              <w:jc w:val="both"/>
            </w:pPr>
            <w:r>
              <w:t>dz</w:t>
            </w:r>
            <w:r w:rsidR="008B130F">
              <w:t>iałka nr</w:t>
            </w:r>
            <w:r w:rsidRPr="00CD5EF2">
              <w:rPr>
                <w:u w:val="single"/>
              </w:rPr>
              <w:t xml:space="preserve"> 14</w:t>
            </w:r>
            <w:r w:rsidR="008B130F">
              <w:rPr>
                <w:u w:val="single"/>
              </w:rPr>
              <w:t>/3</w:t>
            </w:r>
            <w:r w:rsidRPr="00CD5EF2">
              <w:rPr>
                <w:u w:val="single"/>
              </w:rPr>
              <w:t>,</w:t>
            </w:r>
            <w:r>
              <w:t xml:space="preserve"> obręb plac Grunwaldzki, gmina M. Wrocław, woj. Dolnośląskie</w:t>
            </w:r>
            <w:r w:rsidR="00AC0D30">
              <w:t xml:space="preserve"> dla budynku ul. Jedności Narodowej 228</w:t>
            </w:r>
            <w:r w:rsidR="00252DAE">
              <w:t>, Wrocław i działk</w:t>
            </w:r>
            <w:r w:rsidR="00105901">
              <w:t>a</w:t>
            </w:r>
            <w:r w:rsidR="00252DAE">
              <w:t xml:space="preserve"> nr 14/2 pod miejsca parkingowe pomiędzy budynkami </w:t>
            </w:r>
            <w:r w:rsidR="00105901">
              <w:t>przy ul. Jedności Narodowej 226 i 228</w:t>
            </w:r>
            <w:r w:rsidR="00D90396">
              <w:t xml:space="preserve"> we Wrocławiu</w:t>
            </w:r>
          </w:p>
          <w:p w14:paraId="05F6AA4D" w14:textId="77777777" w:rsidR="006B30D8" w:rsidRDefault="006B30D8">
            <w:pPr>
              <w:pBdr>
                <w:top w:val="nil"/>
                <w:left w:val="nil"/>
                <w:bottom w:val="nil"/>
                <w:right w:val="nil"/>
                <w:between w:val="nil"/>
              </w:pBdr>
              <w:spacing w:after="200" w:line="276" w:lineRule="auto"/>
              <w:jc w:val="both"/>
              <w:rPr>
                <w:noProof/>
              </w:rPr>
            </w:pPr>
          </w:p>
          <w:p w14:paraId="4C3B2B16" w14:textId="77777777" w:rsidR="002259F5" w:rsidRDefault="007610BF">
            <w:pPr>
              <w:pBdr>
                <w:top w:val="nil"/>
                <w:left w:val="nil"/>
                <w:bottom w:val="nil"/>
                <w:right w:val="nil"/>
                <w:between w:val="nil"/>
              </w:pBdr>
              <w:spacing w:after="200" w:line="276" w:lineRule="auto"/>
              <w:jc w:val="both"/>
              <w:rPr>
                <w:rFonts w:ascii="Lato" w:eastAsia="Lato" w:hAnsi="Lato" w:cs="Lato"/>
                <w:color w:val="000000"/>
              </w:rPr>
            </w:pPr>
            <w:r>
              <w:rPr>
                <w:noProof/>
              </w:rPr>
              <w:drawing>
                <wp:inline distT="0" distB="0" distL="0" distR="0" wp14:anchorId="3C8D875F" wp14:editId="1C8F2EC4">
                  <wp:extent cx="4359275" cy="3189605"/>
                  <wp:effectExtent l="0" t="0" r="317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59275" cy="3189605"/>
                          </a:xfrm>
                          <a:prstGeom prst="rect">
                            <a:avLst/>
                          </a:prstGeom>
                          <a:noFill/>
                          <a:ln>
                            <a:noFill/>
                          </a:ln>
                        </pic:spPr>
                      </pic:pic>
                    </a:graphicData>
                  </a:graphic>
                </wp:inline>
              </w:drawing>
            </w:r>
          </w:p>
        </w:tc>
      </w:tr>
      <w:tr w:rsidR="006C336E" w14:paraId="7C6C9A9E" w14:textId="77777777" w:rsidTr="00BD3DE0">
        <w:trPr>
          <w:trHeight w:val="374"/>
        </w:trPr>
        <w:tc>
          <w:tcPr>
            <w:tcW w:w="2763" w:type="dxa"/>
            <w:shd w:val="clear" w:color="auto" w:fill="D9D9D9"/>
          </w:tcPr>
          <w:p w14:paraId="73E56690" w14:textId="77777777" w:rsidR="006C336E" w:rsidRDefault="00A547CB">
            <w:pPr>
              <w:pBdr>
                <w:top w:val="nil"/>
                <w:left w:val="nil"/>
                <w:bottom w:val="nil"/>
                <w:right w:val="nil"/>
                <w:between w:val="nil"/>
              </w:pBdr>
              <w:spacing w:before="40" w:after="200" w:line="276" w:lineRule="auto"/>
              <w:jc w:val="left"/>
              <w:rPr>
                <w:rFonts w:ascii="Lato" w:eastAsia="Lato" w:hAnsi="Lato" w:cs="Lato"/>
                <w:color w:val="000000"/>
              </w:rPr>
            </w:pPr>
            <w:r w:rsidRPr="00D2290D">
              <w:rPr>
                <w:rFonts w:ascii="Lato" w:eastAsia="Lato" w:hAnsi="Lato" w:cs="Lato"/>
                <w:color w:val="000000"/>
              </w:rPr>
              <w:lastRenderedPageBreak/>
              <w:t>Nr księgi wieczystej</w:t>
            </w:r>
          </w:p>
          <w:p w14:paraId="73AAB1D3" w14:textId="0647197D" w:rsidR="00A863BA" w:rsidRPr="00DE1867" w:rsidRDefault="00A863BA">
            <w:pPr>
              <w:pBdr>
                <w:top w:val="nil"/>
                <w:left w:val="nil"/>
                <w:bottom w:val="nil"/>
                <w:right w:val="nil"/>
                <w:between w:val="nil"/>
              </w:pBdr>
              <w:spacing w:before="40" w:after="200" w:line="276" w:lineRule="auto"/>
              <w:jc w:val="left"/>
              <w:rPr>
                <w:rFonts w:ascii="Lato" w:eastAsia="Lato" w:hAnsi="Lato" w:cs="Lato"/>
                <w:color w:val="000000"/>
                <w:highlight w:val="yellow"/>
              </w:rPr>
            </w:pPr>
          </w:p>
        </w:tc>
        <w:tc>
          <w:tcPr>
            <w:tcW w:w="7360" w:type="dxa"/>
            <w:gridSpan w:val="6"/>
          </w:tcPr>
          <w:p w14:paraId="7674DDC4" w14:textId="6AB82C21" w:rsidR="006C336E" w:rsidRPr="00DE1867" w:rsidRDefault="006C336E">
            <w:pPr>
              <w:spacing w:after="200" w:line="276" w:lineRule="auto"/>
              <w:jc w:val="left"/>
              <w:rPr>
                <w:rFonts w:ascii="Lato" w:eastAsia="Lato" w:hAnsi="Lato" w:cs="Lato"/>
                <w:highlight w:val="yellow"/>
              </w:rPr>
            </w:pPr>
            <w:r w:rsidRPr="00D73440">
              <w:t xml:space="preserve">Nr </w:t>
            </w:r>
            <w:r w:rsidRPr="00CD5EF2">
              <w:rPr>
                <w:u w:val="single"/>
              </w:rPr>
              <w:t xml:space="preserve">dz. </w:t>
            </w:r>
            <w:r w:rsidR="00A524BD" w:rsidRPr="00CD5EF2">
              <w:rPr>
                <w:u w:val="single"/>
              </w:rPr>
              <w:t>14</w:t>
            </w:r>
            <w:r w:rsidRPr="00CD5EF2">
              <w:rPr>
                <w:u w:val="single"/>
              </w:rPr>
              <w:t xml:space="preserve"> -</w:t>
            </w:r>
            <w:r w:rsidRPr="00D73440">
              <w:t xml:space="preserve"> WR1K/00286916/2</w:t>
            </w:r>
            <w:r w:rsidR="00A547CB" w:rsidRPr="00A547CB">
              <w:rPr>
                <w:highlight w:val="yellow"/>
              </w:rPr>
              <w:br/>
            </w:r>
          </w:p>
        </w:tc>
      </w:tr>
      <w:tr w:rsidR="006C336E" w14:paraId="6DA3FB48" w14:textId="77777777" w:rsidTr="00BD3DE0">
        <w:trPr>
          <w:trHeight w:val="699"/>
        </w:trPr>
        <w:tc>
          <w:tcPr>
            <w:tcW w:w="2763" w:type="dxa"/>
            <w:shd w:val="clear" w:color="auto" w:fill="D9D9D9"/>
          </w:tcPr>
          <w:p w14:paraId="6D748752" w14:textId="77777777" w:rsidR="006C336E" w:rsidRPr="00D73440" w:rsidRDefault="006C336E">
            <w:pPr>
              <w:pBdr>
                <w:top w:val="nil"/>
                <w:left w:val="nil"/>
                <w:bottom w:val="nil"/>
                <w:right w:val="nil"/>
                <w:between w:val="nil"/>
              </w:pBdr>
              <w:spacing w:before="40" w:after="200" w:line="276" w:lineRule="auto"/>
              <w:jc w:val="both"/>
              <w:rPr>
                <w:rFonts w:ascii="Lato" w:eastAsia="Lato" w:hAnsi="Lato" w:cs="Lato"/>
                <w:color w:val="000000"/>
              </w:rPr>
            </w:pPr>
            <w:r w:rsidRPr="00D73440">
              <w:rPr>
                <w:rFonts w:ascii="Lato" w:eastAsia="Lato" w:hAnsi="Lato" w:cs="Lato"/>
                <w:color w:val="000000"/>
              </w:rPr>
              <w:t>Istniejące obciążenia hipoteczne nieruchomości lub wnioski o wpis w dziale czwartym księgi wieczystej</w:t>
            </w:r>
          </w:p>
        </w:tc>
        <w:tc>
          <w:tcPr>
            <w:tcW w:w="7360" w:type="dxa"/>
            <w:gridSpan w:val="6"/>
          </w:tcPr>
          <w:p w14:paraId="2A785298" w14:textId="77777777" w:rsidR="006C336E" w:rsidRDefault="006C336E" w:rsidP="00D73440">
            <w:pPr>
              <w:spacing w:before="30"/>
              <w:jc w:val="both"/>
            </w:pPr>
          </w:p>
          <w:p w14:paraId="65056A28" w14:textId="77777777" w:rsidR="00F43980" w:rsidRDefault="00F43980" w:rsidP="00D73440">
            <w:pPr>
              <w:spacing w:before="30"/>
              <w:jc w:val="both"/>
            </w:pPr>
          </w:p>
          <w:p w14:paraId="0C65F304" w14:textId="12093BEB" w:rsidR="00A25A11" w:rsidRDefault="00E94720">
            <w:pPr>
              <w:pStyle w:val="Zwykytekst"/>
              <w:jc w:val="left"/>
            </w:pPr>
            <w:r>
              <w:t>brak</w:t>
            </w:r>
          </w:p>
          <w:p w14:paraId="3E28AADB" w14:textId="77777777" w:rsidR="00A25A11" w:rsidRDefault="00A25A11">
            <w:pPr>
              <w:spacing w:before="30"/>
              <w:jc w:val="left"/>
              <w:rPr>
                <w:rFonts w:ascii="Lato" w:eastAsia="Lato" w:hAnsi="Lato" w:cs="Lato"/>
              </w:rPr>
            </w:pPr>
          </w:p>
          <w:p w14:paraId="392F7B8F" w14:textId="77777777" w:rsidR="00F43980" w:rsidRPr="00D73440" w:rsidRDefault="00F43980" w:rsidP="00D73440">
            <w:pPr>
              <w:spacing w:before="30"/>
              <w:jc w:val="both"/>
              <w:rPr>
                <w:rFonts w:ascii="Lato" w:eastAsia="Lato" w:hAnsi="Lato" w:cs="Lato"/>
              </w:rPr>
            </w:pPr>
          </w:p>
        </w:tc>
      </w:tr>
      <w:tr w:rsidR="006C336E" w14:paraId="39956974" w14:textId="77777777" w:rsidTr="00BD3DE0">
        <w:trPr>
          <w:trHeight w:val="612"/>
        </w:trPr>
        <w:tc>
          <w:tcPr>
            <w:tcW w:w="2763" w:type="dxa"/>
            <w:shd w:val="clear" w:color="auto" w:fill="D9D9D9"/>
          </w:tcPr>
          <w:p w14:paraId="46EBED4C" w14:textId="77777777" w:rsidR="006C336E" w:rsidRDefault="006C336E">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W przypadku braku księgi wieczystej informacja o powierzchni działki i stanie prawnym nieruchomości</w:t>
            </w:r>
            <w:r>
              <w:rPr>
                <w:rFonts w:ascii="Lato" w:eastAsia="Lato" w:hAnsi="Lato" w:cs="Lato"/>
                <w:color w:val="000000"/>
                <w:vertAlign w:val="superscript"/>
              </w:rPr>
              <w:footnoteReference w:id="3"/>
            </w:r>
          </w:p>
        </w:tc>
        <w:tc>
          <w:tcPr>
            <w:tcW w:w="7360" w:type="dxa"/>
            <w:gridSpan w:val="6"/>
          </w:tcPr>
          <w:p w14:paraId="63FB4510" w14:textId="77777777" w:rsidR="006C336E" w:rsidRDefault="006C336E">
            <w:pPr>
              <w:pBdr>
                <w:top w:val="nil"/>
                <w:left w:val="nil"/>
                <w:bottom w:val="nil"/>
                <w:right w:val="nil"/>
                <w:between w:val="nil"/>
              </w:pBdr>
              <w:spacing w:before="30" w:after="200" w:line="276" w:lineRule="auto"/>
              <w:jc w:val="left"/>
              <w:rPr>
                <w:rFonts w:ascii="Lato" w:eastAsia="Lato" w:hAnsi="Lato" w:cs="Lato"/>
                <w:color w:val="000000"/>
              </w:rPr>
            </w:pPr>
            <w:r>
              <w:t>Nie dotyczy</w:t>
            </w:r>
          </w:p>
        </w:tc>
      </w:tr>
      <w:tr w:rsidR="006C336E" w14:paraId="2E6AF9FB" w14:textId="77777777" w:rsidTr="00BD3DE0">
        <w:trPr>
          <w:trHeight w:val="612"/>
        </w:trPr>
        <w:tc>
          <w:tcPr>
            <w:tcW w:w="2763" w:type="dxa"/>
            <w:shd w:val="clear" w:color="auto" w:fill="D9D9D9"/>
          </w:tcPr>
          <w:p w14:paraId="33FB5D89" w14:textId="77777777" w:rsidR="006C336E" w:rsidRDefault="006C336E">
            <w:pPr>
              <w:pBdr>
                <w:top w:val="nil"/>
                <w:left w:val="nil"/>
                <w:bottom w:val="nil"/>
                <w:right w:val="nil"/>
                <w:between w:val="nil"/>
              </w:pBdr>
              <w:spacing w:before="40"/>
              <w:jc w:val="both"/>
              <w:rPr>
                <w:rFonts w:ascii="Lato" w:eastAsia="Lato" w:hAnsi="Lato" w:cs="Lato"/>
                <w:color w:val="000000"/>
              </w:rPr>
            </w:pPr>
            <w:r>
              <w:rPr>
                <w:rStyle w:val="markedcontent"/>
              </w:rPr>
              <w:t>Informacje dotyczące obiektów</w:t>
            </w:r>
            <w:r>
              <w:br/>
            </w:r>
            <w:r>
              <w:rPr>
                <w:rStyle w:val="markedcontent"/>
              </w:rPr>
              <w:t>istniejących położonych</w:t>
            </w:r>
            <w:r>
              <w:br/>
            </w:r>
            <w:r>
              <w:rPr>
                <w:rStyle w:val="markedcontent"/>
              </w:rPr>
              <w:t>w sąsiedztwie inwestycji</w:t>
            </w:r>
            <w:r>
              <w:br/>
            </w:r>
            <w:r>
              <w:rPr>
                <w:rStyle w:val="markedcontent"/>
              </w:rPr>
              <w:t>i wpływających na warunki</w:t>
            </w:r>
            <w:r>
              <w:br/>
            </w:r>
            <w:r>
              <w:rPr>
                <w:rStyle w:val="markedcontent"/>
              </w:rPr>
              <w:t>życia</w:t>
            </w:r>
            <w:r>
              <w:rPr>
                <w:rStyle w:val="markedcontent"/>
                <w:sz w:val="14"/>
                <w:szCs w:val="14"/>
              </w:rPr>
              <w:t>3)</w:t>
            </w:r>
          </w:p>
        </w:tc>
        <w:tc>
          <w:tcPr>
            <w:tcW w:w="7360" w:type="dxa"/>
            <w:gridSpan w:val="6"/>
          </w:tcPr>
          <w:p w14:paraId="4D4014CE" w14:textId="77777777" w:rsidR="006C336E" w:rsidRDefault="006C336E" w:rsidP="00701D63">
            <w:pPr>
              <w:ind w:right="-471"/>
            </w:pPr>
            <w:r>
              <w:t xml:space="preserve">W sąsiedztwie inwestycji znajdują się budynki mieszkalne z lokalami </w:t>
            </w:r>
            <w:r>
              <w:br/>
              <w:t xml:space="preserve">usługowymi i budynek biurowy, a także zabytkowy komin. Budynki </w:t>
            </w:r>
            <w:r>
              <w:br/>
              <w:t>sąsiadujące nie mają negatywnego wpływu na budynek inwestycji.</w:t>
            </w:r>
          </w:p>
        </w:tc>
      </w:tr>
      <w:tr w:rsidR="00C8158A" w14:paraId="783323B1" w14:textId="77777777" w:rsidTr="00BD3DE0">
        <w:trPr>
          <w:trHeight w:val="225"/>
        </w:trPr>
        <w:tc>
          <w:tcPr>
            <w:tcW w:w="2763" w:type="dxa"/>
            <w:vMerge w:val="restart"/>
            <w:shd w:val="clear" w:color="auto" w:fill="D9D9D9"/>
          </w:tcPr>
          <w:p w14:paraId="5904CF2D" w14:textId="77777777" w:rsidR="00C8158A" w:rsidRDefault="00C8158A" w:rsidP="00494D44">
            <w:pPr>
              <w:pBdr>
                <w:top w:val="nil"/>
                <w:left w:val="nil"/>
                <w:bottom w:val="nil"/>
                <w:right w:val="nil"/>
                <w:between w:val="nil"/>
              </w:pBdr>
              <w:spacing w:before="40"/>
              <w:jc w:val="both"/>
              <w:rPr>
                <w:rStyle w:val="markedcontent"/>
              </w:rPr>
            </w:pPr>
            <w:r>
              <w:rPr>
                <w:rStyle w:val="markedcontent"/>
              </w:rPr>
              <w:t>Akty planowania</w:t>
            </w:r>
            <w:r>
              <w:br/>
            </w:r>
            <w:r>
              <w:rPr>
                <w:rStyle w:val="markedcontent"/>
              </w:rPr>
              <w:t>przestrzennego i inne akty</w:t>
            </w:r>
            <w:r>
              <w:br/>
            </w:r>
            <w:r>
              <w:rPr>
                <w:rStyle w:val="markedcontent"/>
              </w:rPr>
              <w:t>prawne na terenie objętym</w:t>
            </w:r>
            <w:r>
              <w:br/>
            </w:r>
            <w:r>
              <w:rPr>
                <w:rStyle w:val="markedcontent"/>
              </w:rPr>
              <w:t>przedsięwzięciem</w:t>
            </w:r>
            <w:r>
              <w:br/>
            </w:r>
            <w:r>
              <w:rPr>
                <w:rStyle w:val="markedcontent"/>
              </w:rPr>
              <w:t>deweloperskim lub zadaniem</w:t>
            </w:r>
            <w:r>
              <w:br/>
            </w:r>
            <w:r>
              <w:rPr>
                <w:rStyle w:val="markedcontent"/>
              </w:rPr>
              <w:t>inwestycyjnym</w:t>
            </w:r>
          </w:p>
        </w:tc>
        <w:tc>
          <w:tcPr>
            <w:tcW w:w="3276" w:type="dxa"/>
            <w:gridSpan w:val="2"/>
          </w:tcPr>
          <w:p w14:paraId="288CC5A5" w14:textId="77777777" w:rsidR="00C8158A" w:rsidRDefault="00C8158A" w:rsidP="00C8158A">
            <w:pPr>
              <w:pStyle w:val="Default"/>
              <w:rPr>
                <w:sz w:val="20"/>
                <w:szCs w:val="20"/>
              </w:rPr>
            </w:pPr>
            <w:r>
              <w:rPr>
                <w:sz w:val="20"/>
                <w:szCs w:val="20"/>
              </w:rPr>
              <w:t xml:space="preserve">Studium uwarunkowań i kierunków zagospodarowania przestrzennego gminy </w:t>
            </w:r>
          </w:p>
          <w:p w14:paraId="3B870BAE" w14:textId="77777777" w:rsidR="00C8158A" w:rsidRDefault="00C8158A" w:rsidP="00494D44">
            <w:pPr>
              <w:pBdr>
                <w:top w:val="nil"/>
                <w:left w:val="nil"/>
                <w:bottom w:val="nil"/>
                <w:right w:val="nil"/>
                <w:between w:val="nil"/>
              </w:pBdr>
              <w:spacing w:before="120"/>
              <w:rPr>
                <w:rStyle w:val="markedcontent"/>
              </w:rPr>
            </w:pPr>
          </w:p>
        </w:tc>
        <w:tc>
          <w:tcPr>
            <w:tcW w:w="4084" w:type="dxa"/>
            <w:gridSpan w:val="4"/>
            <w:vMerge w:val="restart"/>
          </w:tcPr>
          <w:p w14:paraId="46D7E9A7" w14:textId="77777777" w:rsidR="009B6CBD" w:rsidRDefault="009B6CBD" w:rsidP="00C8158A">
            <w:pPr>
              <w:ind w:right="-471"/>
              <w:jc w:val="left"/>
              <w:rPr>
                <w:color w:val="0070C0"/>
              </w:rPr>
            </w:pPr>
            <w:r>
              <w:rPr>
                <w:color w:val="000000"/>
              </w:rPr>
              <w:t xml:space="preserve">Studium- MU – tereny mieszkaniowo – usługowe. </w:t>
            </w:r>
            <w:r w:rsidRPr="009B6CBD">
              <w:rPr>
                <w:color w:val="000000"/>
              </w:rPr>
              <w:t>Ustalenia Polityki zamieszkiwania zawarte są w części IV, rozdziale 4</w:t>
            </w:r>
            <w:r>
              <w:rPr>
                <w:color w:val="000000"/>
              </w:rPr>
              <w:t>.</w:t>
            </w:r>
            <w:r>
              <w:rPr>
                <w:color w:val="000000"/>
              </w:rPr>
              <w:br/>
            </w:r>
            <w:hyperlink r:id="rId11" w:history="1">
              <w:r w:rsidR="00A547CB" w:rsidRPr="00A547CB">
                <w:rPr>
                  <w:rStyle w:val="Hipercze"/>
                </w:rPr>
                <w:t>https://gis.um.wroc.pl/imap/?gpmap=Studium2018</w:t>
              </w:r>
            </w:hyperlink>
          </w:p>
          <w:p w14:paraId="642B8488" w14:textId="77777777" w:rsidR="009B6CBD" w:rsidRDefault="009B6CBD" w:rsidP="00C8158A">
            <w:pPr>
              <w:ind w:right="-471"/>
              <w:jc w:val="left"/>
              <w:rPr>
                <w:color w:val="000000"/>
              </w:rPr>
            </w:pPr>
          </w:p>
          <w:p w14:paraId="74883F94" w14:textId="77777777" w:rsidR="00C8158A" w:rsidRDefault="006D3D19" w:rsidP="00C8158A">
            <w:pPr>
              <w:ind w:right="-471"/>
              <w:jc w:val="left"/>
              <w:rPr>
                <w:color w:val="000000"/>
              </w:rPr>
            </w:pPr>
            <w:r>
              <w:rPr>
                <w:color w:val="000000"/>
              </w:rPr>
              <w:t>M</w:t>
            </w:r>
            <w:r w:rsidR="00C8158A" w:rsidRPr="002C627B">
              <w:rPr>
                <w:color w:val="000000"/>
              </w:rPr>
              <w:t xml:space="preserve">iejscowy </w:t>
            </w:r>
            <w:r>
              <w:rPr>
                <w:color w:val="000000"/>
              </w:rPr>
              <w:t>P</w:t>
            </w:r>
            <w:r w:rsidR="00C8158A" w:rsidRPr="002C627B">
              <w:rPr>
                <w:color w:val="000000"/>
              </w:rPr>
              <w:t>lan</w:t>
            </w:r>
            <w:r w:rsidR="00C8158A">
              <w:rPr>
                <w:color w:val="000000"/>
              </w:rPr>
              <w:t xml:space="preserve"> </w:t>
            </w:r>
            <w:r w:rsidR="00C8158A" w:rsidRPr="002C627B">
              <w:rPr>
                <w:color w:val="000000"/>
              </w:rPr>
              <w:t xml:space="preserve">zagospodarowania przestrzennego Gminy </w:t>
            </w:r>
            <w:r w:rsidR="00C8158A">
              <w:rPr>
                <w:color w:val="000000"/>
              </w:rPr>
              <w:t>Wrocław</w:t>
            </w:r>
            <w:r w:rsidR="00C8158A" w:rsidRPr="002C627B">
              <w:rPr>
                <w:color w:val="000000"/>
              </w:rPr>
              <w:t>, uchwalonego uchwał</w:t>
            </w:r>
            <w:r w:rsidR="00C8158A" w:rsidRPr="002C627B">
              <w:rPr>
                <w:rFonts w:hint="eastAsia"/>
                <w:color w:val="000000"/>
              </w:rPr>
              <w:t>ą</w:t>
            </w:r>
            <w:r w:rsidR="00C8158A" w:rsidRPr="002C627B">
              <w:rPr>
                <w:color w:val="000000"/>
              </w:rPr>
              <w:t xml:space="preserve"> Rady </w:t>
            </w:r>
            <w:r w:rsidR="00C8158A">
              <w:rPr>
                <w:color w:val="000000"/>
              </w:rPr>
              <w:t xml:space="preserve">Miejskiej Wrocławia </w:t>
            </w:r>
            <w:r w:rsidR="00C8158A" w:rsidRPr="002C627B">
              <w:rPr>
                <w:color w:val="000000"/>
              </w:rPr>
              <w:t xml:space="preserve">NR </w:t>
            </w:r>
            <w:r w:rsidR="00C8158A">
              <w:rPr>
                <w:color w:val="000000"/>
              </w:rPr>
              <w:t>XIII</w:t>
            </w:r>
            <w:r w:rsidR="00C8158A" w:rsidRPr="002C627B">
              <w:rPr>
                <w:color w:val="000000"/>
              </w:rPr>
              <w:t>/</w:t>
            </w:r>
            <w:r w:rsidR="00C8158A">
              <w:rPr>
                <w:color w:val="000000"/>
              </w:rPr>
              <w:t>309</w:t>
            </w:r>
            <w:r w:rsidR="00C8158A" w:rsidRPr="002C627B">
              <w:rPr>
                <w:color w:val="000000"/>
              </w:rPr>
              <w:t>/</w:t>
            </w:r>
            <w:r w:rsidR="00C8158A">
              <w:rPr>
                <w:color w:val="000000"/>
              </w:rPr>
              <w:t>07</w:t>
            </w:r>
            <w:r w:rsidR="00C8158A">
              <w:rPr>
                <w:color w:val="000000"/>
              </w:rPr>
              <w:br/>
            </w:r>
            <w:r w:rsidR="00C8158A" w:rsidRPr="002C627B">
              <w:rPr>
                <w:color w:val="000000"/>
              </w:rPr>
              <w:t xml:space="preserve">z dnia </w:t>
            </w:r>
            <w:r w:rsidR="00C8158A">
              <w:rPr>
                <w:color w:val="000000"/>
              </w:rPr>
              <w:t>25</w:t>
            </w:r>
            <w:r w:rsidR="00C8158A" w:rsidRPr="002C627B">
              <w:rPr>
                <w:color w:val="000000"/>
              </w:rPr>
              <w:t xml:space="preserve"> </w:t>
            </w:r>
            <w:r w:rsidR="00C8158A">
              <w:rPr>
                <w:color w:val="000000"/>
              </w:rPr>
              <w:t xml:space="preserve">października </w:t>
            </w:r>
            <w:r w:rsidR="00C8158A" w:rsidRPr="002C627B">
              <w:rPr>
                <w:color w:val="000000"/>
              </w:rPr>
              <w:t>20</w:t>
            </w:r>
            <w:r w:rsidR="00C8158A">
              <w:rPr>
                <w:color w:val="000000"/>
              </w:rPr>
              <w:t>07</w:t>
            </w:r>
            <w:r w:rsidR="00C8158A" w:rsidRPr="002C627B">
              <w:rPr>
                <w:color w:val="000000"/>
              </w:rPr>
              <w:t xml:space="preserve"> r:</w:t>
            </w:r>
          </w:p>
          <w:p w14:paraId="29FBF95E" w14:textId="77777777" w:rsidR="00C8158A" w:rsidRDefault="00C8158A" w:rsidP="00C8158A">
            <w:pPr>
              <w:ind w:right="-471"/>
              <w:jc w:val="left"/>
              <w:rPr>
                <w:color w:val="000000"/>
              </w:rPr>
            </w:pPr>
            <w:r>
              <w:rPr>
                <w:color w:val="000000"/>
              </w:rPr>
              <w:t>Działka 2/14, 2/12, 2/9</w:t>
            </w:r>
          </w:p>
          <w:p w14:paraId="429A5481" w14:textId="77777777" w:rsidR="00BD3DE0" w:rsidRDefault="00A547CB" w:rsidP="00C8158A">
            <w:pPr>
              <w:ind w:right="-471"/>
              <w:jc w:val="left"/>
              <w:rPr>
                <w:color w:val="0070C0"/>
              </w:rPr>
            </w:pPr>
            <w:hyperlink r:id="rId12" w:history="1">
              <w:r w:rsidRPr="00A547CB">
                <w:rPr>
                  <w:rStyle w:val="Hipercze"/>
                </w:rPr>
                <w:t>https://www.geoportal.wroclaw.pl/mpzp/</w:t>
              </w:r>
            </w:hyperlink>
          </w:p>
          <w:p w14:paraId="35A8AC09" w14:textId="77777777" w:rsidR="00C8158A" w:rsidRDefault="00C8158A" w:rsidP="00C8158A">
            <w:pPr>
              <w:ind w:right="-471"/>
              <w:jc w:val="left"/>
              <w:rPr>
                <w:color w:val="000000"/>
              </w:rPr>
            </w:pPr>
          </w:p>
          <w:p w14:paraId="22DCA093" w14:textId="77777777" w:rsidR="00BD3DE0" w:rsidRDefault="00A547CB" w:rsidP="00C8158A">
            <w:pPr>
              <w:ind w:right="-471"/>
              <w:jc w:val="left"/>
            </w:pPr>
            <w:r w:rsidRPr="00A547CB">
              <w:t xml:space="preserve">Miejscowy plan rewitalizacji – Rada </w:t>
            </w:r>
            <w:r w:rsidR="00BD3DE0">
              <w:t>Miejska Wrocławia nie podjęła uchwały, nie została ustanowiona Specjalna Strefa Rewitalizacji</w:t>
            </w:r>
          </w:p>
          <w:p w14:paraId="0508EFF0" w14:textId="77777777" w:rsidR="00BD3DE0" w:rsidRDefault="00BD3DE0" w:rsidP="00C8158A">
            <w:pPr>
              <w:ind w:right="-471"/>
              <w:jc w:val="left"/>
            </w:pPr>
          </w:p>
          <w:p w14:paraId="42E97712" w14:textId="77777777" w:rsidR="00BD3DE0" w:rsidRDefault="00BD3DE0" w:rsidP="00C8158A">
            <w:pPr>
              <w:ind w:right="-471"/>
              <w:jc w:val="left"/>
              <w:rPr>
                <w:color w:val="000000"/>
              </w:rPr>
            </w:pPr>
            <w:r w:rsidRPr="00BD3DE0">
              <w:rPr>
                <w:color w:val="000000"/>
              </w:rPr>
              <w:t>Miejscowy plan odbudowy</w:t>
            </w:r>
            <w:r>
              <w:rPr>
                <w:color w:val="000000"/>
              </w:rPr>
              <w:t xml:space="preserve"> - brak</w:t>
            </w:r>
          </w:p>
          <w:p w14:paraId="1189BFD0" w14:textId="77777777" w:rsidR="00BD3DE0" w:rsidRDefault="00BD3DE0" w:rsidP="00C8158A">
            <w:pPr>
              <w:ind w:right="-471"/>
              <w:jc w:val="left"/>
              <w:rPr>
                <w:color w:val="000000"/>
              </w:rPr>
            </w:pPr>
          </w:p>
          <w:p w14:paraId="6C9052F8" w14:textId="77777777" w:rsidR="00C8158A" w:rsidRDefault="007610BF" w:rsidP="002259F5">
            <w:pPr>
              <w:ind w:right="-471"/>
              <w:jc w:val="left"/>
              <w:rPr>
                <w:color w:val="000000"/>
              </w:rPr>
            </w:pPr>
            <w:r>
              <w:rPr>
                <w:rFonts w:ascii="Palatino Linotype" w:hAnsi="Palatino Linotype"/>
                <w:bCs/>
                <w:noProof/>
                <w:sz w:val="18"/>
                <w:szCs w:val="18"/>
              </w:rPr>
              <w:drawing>
                <wp:inline distT="0" distB="0" distL="0" distR="0" wp14:anchorId="3C01D438" wp14:editId="2D3738F8">
                  <wp:extent cx="2027229" cy="1158949"/>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099399" cy="1200208"/>
                          </a:xfrm>
                          <a:prstGeom prst="rect">
                            <a:avLst/>
                          </a:prstGeom>
                          <a:noFill/>
                          <a:ln w="9525">
                            <a:noFill/>
                            <a:miter lim="800000"/>
                            <a:headEnd/>
                            <a:tailEnd/>
                          </a:ln>
                        </pic:spPr>
                      </pic:pic>
                    </a:graphicData>
                  </a:graphic>
                </wp:inline>
              </w:drawing>
            </w:r>
          </w:p>
          <w:p w14:paraId="77CBEE13" w14:textId="77777777" w:rsidR="002259F5" w:rsidRDefault="002259F5" w:rsidP="002259F5">
            <w:pPr>
              <w:ind w:right="-471"/>
              <w:jc w:val="left"/>
              <w:rPr>
                <w:color w:val="000000"/>
              </w:rPr>
            </w:pPr>
          </w:p>
          <w:p w14:paraId="65794403" w14:textId="77777777" w:rsidR="00A25A11" w:rsidRDefault="00A25A11">
            <w:pPr>
              <w:pStyle w:val="Akapitzlist"/>
              <w:widowControl w:val="0"/>
              <w:autoSpaceDN w:val="0"/>
              <w:contextualSpacing w:val="0"/>
              <w:textAlignment w:val="baseline"/>
              <w:rPr>
                <w:rFonts w:eastAsia="Times New Roman"/>
              </w:rPr>
            </w:pPr>
          </w:p>
        </w:tc>
      </w:tr>
      <w:tr w:rsidR="00C8158A" w14:paraId="0C2B0200" w14:textId="77777777" w:rsidTr="00BD3DE0">
        <w:trPr>
          <w:trHeight w:val="759"/>
        </w:trPr>
        <w:tc>
          <w:tcPr>
            <w:tcW w:w="2763" w:type="dxa"/>
            <w:vMerge/>
            <w:shd w:val="clear" w:color="auto" w:fill="D9D9D9"/>
          </w:tcPr>
          <w:p w14:paraId="5CED4020" w14:textId="77777777" w:rsidR="00C8158A" w:rsidRDefault="00C8158A" w:rsidP="00494D44">
            <w:pPr>
              <w:pBdr>
                <w:top w:val="nil"/>
                <w:left w:val="nil"/>
                <w:bottom w:val="nil"/>
                <w:right w:val="nil"/>
                <w:between w:val="nil"/>
              </w:pBdr>
              <w:spacing w:before="40"/>
              <w:jc w:val="both"/>
              <w:rPr>
                <w:rStyle w:val="markedcontent"/>
              </w:rPr>
            </w:pPr>
          </w:p>
        </w:tc>
        <w:tc>
          <w:tcPr>
            <w:tcW w:w="3276" w:type="dxa"/>
            <w:gridSpan w:val="2"/>
          </w:tcPr>
          <w:p w14:paraId="14C1EB29" w14:textId="77777777" w:rsidR="00A25A11" w:rsidRDefault="00C8158A">
            <w:pPr>
              <w:pStyle w:val="Default"/>
              <w:rPr>
                <w:rStyle w:val="markedcontent"/>
                <w:sz w:val="20"/>
                <w:szCs w:val="20"/>
              </w:rPr>
            </w:pPr>
            <w:r>
              <w:rPr>
                <w:sz w:val="20"/>
                <w:szCs w:val="20"/>
              </w:rPr>
              <w:t xml:space="preserve">Miejscowy plan zagospodarowania przestrzennego </w:t>
            </w:r>
          </w:p>
        </w:tc>
        <w:tc>
          <w:tcPr>
            <w:tcW w:w="4084" w:type="dxa"/>
            <w:gridSpan w:val="4"/>
            <w:vMerge/>
          </w:tcPr>
          <w:p w14:paraId="6E674E12" w14:textId="77777777" w:rsidR="00C8158A" w:rsidRDefault="00C8158A" w:rsidP="00911BCF">
            <w:pPr>
              <w:ind w:right="-471"/>
              <w:rPr>
                <w:color w:val="000000"/>
              </w:rPr>
            </w:pPr>
          </w:p>
        </w:tc>
      </w:tr>
      <w:tr w:rsidR="00C8158A" w14:paraId="557B7CCF" w14:textId="77777777" w:rsidTr="00BD3DE0">
        <w:trPr>
          <w:trHeight w:val="582"/>
        </w:trPr>
        <w:tc>
          <w:tcPr>
            <w:tcW w:w="2763" w:type="dxa"/>
            <w:vMerge/>
            <w:shd w:val="clear" w:color="auto" w:fill="D9D9D9"/>
          </w:tcPr>
          <w:p w14:paraId="68F87E68" w14:textId="77777777" w:rsidR="00C8158A" w:rsidRDefault="00C8158A" w:rsidP="00494D44">
            <w:pPr>
              <w:pBdr>
                <w:top w:val="nil"/>
                <w:left w:val="nil"/>
                <w:bottom w:val="nil"/>
                <w:right w:val="nil"/>
                <w:between w:val="nil"/>
              </w:pBdr>
              <w:spacing w:before="40"/>
              <w:jc w:val="both"/>
              <w:rPr>
                <w:rStyle w:val="markedcontent"/>
              </w:rPr>
            </w:pPr>
          </w:p>
        </w:tc>
        <w:tc>
          <w:tcPr>
            <w:tcW w:w="3276" w:type="dxa"/>
            <w:gridSpan w:val="2"/>
          </w:tcPr>
          <w:p w14:paraId="201655C4" w14:textId="77777777" w:rsidR="00A25A11" w:rsidRDefault="00C8158A">
            <w:pPr>
              <w:pStyle w:val="Default"/>
              <w:rPr>
                <w:rStyle w:val="markedcontent"/>
                <w:sz w:val="20"/>
                <w:szCs w:val="20"/>
              </w:rPr>
            </w:pPr>
            <w:r>
              <w:rPr>
                <w:sz w:val="20"/>
                <w:szCs w:val="20"/>
              </w:rPr>
              <w:t xml:space="preserve">Miejscowy plan rewitalizacji </w:t>
            </w:r>
          </w:p>
        </w:tc>
        <w:tc>
          <w:tcPr>
            <w:tcW w:w="4084" w:type="dxa"/>
            <w:gridSpan w:val="4"/>
            <w:vMerge/>
          </w:tcPr>
          <w:p w14:paraId="13E50EF5" w14:textId="77777777" w:rsidR="00C8158A" w:rsidRDefault="00C8158A" w:rsidP="00911BCF">
            <w:pPr>
              <w:ind w:right="-471"/>
              <w:rPr>
                <w:color w:val="000000"/>
              </w:rPr>
            </w:pPr>
          </w:p>
        </w:tc>
      </w:tr>
      <w:tr w:rsidR="00C8158A" w14:paraId="2AF07709" w14:textId="77777777" w:rsidTr="00BD3DE0">
        <w:trPr>
          <w:trHeight w:val="755"/>
        </w:trPr>
        <w:tc>
          <w:tcPr>
            <w:tcW w:w="2763" w:type="dxa"/>
            <w:vMerge/>
            <w:shd w:val="clear" w:color="auto" w:fill="D9D9D9"/>
          </w:tcPr>
          <w:p w14:paraId="7D6FE6B0" w14:textId="77777777" w:rsidR="00C8158A" w:rsidRDefault="00C8158A" w:rsidP="00494D44">
            <w:pPr>
              <w:pBdr>
                <w:top w:val="nil"/>
                <w:left w:val="nil"/>
                <w:bottom w:val="nil"/>
                <w:right w:val="nil"/>
                <w:between w:val="nil"/>
              </w:pBdr>
              <w:spacing w:before="40"/>
              <w:jc w:val="both"/>
              <w:rPr>
                <w:rStyle w:val="markedcontent"/>
              </w:rPr>
            </w:pPr>
          </w:p>
        </w:tc>
        <w:tc>
          <w:tcPr>
            <w:tcW w:w="3276" w:type="dxa"/>
            <w:gridSpan w:val="2"/>
          </w:tcPr>
          <w:p w14:paraId="48F1F7CE" w14:textId="77777777" w:rsidR="00A25A11" w:rsidRDefault="00C8158A">
            <w:pPr>
              <w:pStyle w:val="Default"/>
              <w:rPr>
                <w:rStyle w:val="markedcontent"/>
                <w:sz w:val="20"/>
                <w:szCs w:val="20"/>
              </w:rPr>
            </w:pPr>
            <w:r>
              <w:rPr>
                <w:sz w:val="20"/>
                <w:szCs w:val="20"/>
              </w:rPr>
              <w:t xml:space="preserve">Miejscowy plan odbudowy </w:t>
            </w:r>
          </w:p>
        </w:tc>
        <w:tc>
          <w:tcPr>
            <w:tcW w:w="4084" w:type="dxa"/>
            <w:gridSpan w:val="4"/>
            <w:vMerge/>
          </w:tcPr>
          <w:p w14:paraId="05BC7C12" w14:textId="77777777" w:rsidR="00C8158A" w:rsidRDefault="00C8158A" w:rsidP="00911BCF">
            <w:pPr>
              <w:ind w:right="-471"/>
              <w:rPr>
                <w:color w:val="000000"/>
              </w:rPr>
            </w:pPr>
          </w:p>
        </w:tc>
      </w:tr>
      <w:tr w:rsidR="00C8158A" w14:paraId="4B195DB0" w14:textId="77777777" w:rsidTr="00BD3DE0">
        <w:trPr>
          <w:trHeight w:val="761"/>
        </w:trPr>
        <w:tc>
          <w:tcPr>
            <w:tcW w:w="2763" w:type="dxa"/>
            <w:vMerge/>
            <w:tcBorders>
              <w:bottom w:val="single" w:sz="4" w:space="0" w:color="000000"/>
            </w:tcBorders>
            <w:shd w:val="clear" w:color="auto" w:fill="D9D9D9"/>
          </w:tcPr>
          <w:p w14:paraId="66136C75" w14:textId="77777777" w:rsidR="00C8158A" w:rsidRDefault="00C8158A" w:rsidP="00494D44">
            <w:pPr>
              <w:pBdr>
                <w:top w:val="nil"/>
                <w:left w:val="nil"/>
                <w:bottom w:val="nil"/>
                <w:right w:val="nil"/>
                <w:between w:val="nil"/>
              </w:pBdr>
              <w:spacing w:before="40"/>
              <w:jc w:val="both"/>
              <w:rPr>
                <w:rStyle w:val="markedcontent"/>
              </w:rPr>
            </w:pPr>
          </w:p>
        </w:tc>
        <w:tc>
          <w:tcPr>
            <w:tcW w:w="3276" w:type="dxa"/>
            <w:gridSpan w:val="2"/>
            <w:tcBorders>
              <w:bottom w:val="single" w:sz="4" w:space="0" w:color="000000"/>
            </w:tcBorders>
          </w:tcPr>
          <w:p w14:paraId="1234BCB1" w14:textId="77777777" w:rsidR="00A25A11" w:rsidRDefault="00C8158A">
            <w:pPr>
              <w:pStyle w:val="Default"/>
              <w:rPr>
                <w:rStyle w:val="markedcontent"/>
                <w:sz w:val="20"/>
                <w:szCs w:val="20"/>
              </w:rPr>
            </w:pPr>
            <w:r>
              <w:rPr>
                <w:sz w:val="20"/>
                <w:szCs w:val="20"/>
              </w:rPr>
              <w:t xml:space="preserve">Inne4) </w:t>
            </w:r>
          </w:p>
        </w:tc>
        <w:tc>
          <w:tcPr>
            <w:tcW w:w="4084" w:type="dxa"/>
            <w:gridSpan w:val="4"/>
            <w:vMerge/>
            <w:tcBorders>
              <w:bottom w:val="single" w:sz="4" w:space="0" w:color="000000"/>
            </w:tcBorders>
          </w:tcPr>
          <w:p w14:paraId="0C379344" w14:textId="77777777" w:rsidR="00C8158A" w:rsidRDefault="00C8158A" w:rsidP="00911BCF">
            <w:pPr>
              <w:ind w:right="-471"/>
              <w:rPr>
                <w:color w:val="000000"/>
              </w:rPr>
            </w:pPr>
          </w:p>
        </w:tc>
      </w:tr>
      <w:tr w:rsidR="006C336E" w14:paraId="4F29FD65" w14:textId="77777777" w:rsidTr="00BD3DE0">
        <w:trPr>
          <w:trHeight w:val="225"/>
        </w:trPr>
        <w:tc>
          <w:tcPr>
            <w:tcW w:w="2763" w:type="dxa"/>
            <w:vMerge w:val="restart"/>
            <w:shd w:val="clear" w:color="auto" w:fill="D9D9D9"/>
          </w:tcPr>
          <w:p w14:paraId="272BF571" w14:textId="77777777" w:rsidR="006C336E" w:rsidRDefault="006C336E" w:rsidP="00494D44">
            <w:pPr>
              <w:pBdr>
                <w:top w:val="nil"/>
                <w:left w:val="nil"/>
                <w:bottom w:val="nil"/>
                <w:right w:val="nil"/>
                <w:between w:val="nil"/>
              </w:pBdr>
              <w:spacing w:before="40"/>
              <w:jc w:val="both"/>
              <w:rPr>
                <w:rFonts w:ascii="Lato" w:eastAsia="Lato" w:hAnsi="Lato" w:cs="Lato"/>
                <w:color w:val="000000"/>
              </w:rPr>
            </w:pPr>
            <w:r>
              <w:rPr>
                <w:rStyle w:val="markedcontent"/>
              </w:rPr>
              <w:t>Ustalenia obowiązującego</w:t>
            </w:r>
            <w:r>
              <w:br/>
            </w:r>
            <w:r>
              <w:rPr>
                <w:rStyle w:val="markedcontent"/>
              </w:rPr>
              <w:t>miejscowego planu</w:t>
            </w:r>
            <w:r>
              <w:br/>
            </w:r>
            <w:r>
              <w:rPr>
                <w:rStyle w:val="markedcontent"/>
              </w:rPr>
              <w:t>zagospodarowania</w:t>
            </w:r>
            <w:r>
              <w:br/>
            </w:r>
            <w:r>
              <w:rPr>
                <w:rStyle w:val="markedcontent"/>
              </w:rPr>
              <w:t>przestrzennego dla terenu</w:t>
            </w:r>
            <w:r>
              <w:br/>
            </w:r>
            <w:r>
              <w:rPr>
                <w:rStyle w:val="markedcontent"/>
              </w:rPr>
              <w:t>objętego przedsięwzięciem</w:t>
            </w:r>
            <w:r>
              <w:br/>
            </w:r>
            <w:r>
              <w:rPr>
                <w:rStyle w:val="markedcontent"/>
              </w:rPr>
              <w:t>deweloperskim lub zadaniem</w:t>
            </w:r>
            <w:r>
              <w:br/>
            </w:r>
            <w:r>
              <w:rPr>
                <w:rStyle w:val="markedcontent"/>
              </w:rPr>
              <w:t>inwestycyjnym</w:t>
            </w:r>
          </w:p>
        </w:tc>
        <w:tc>
          <w:tcPr>
            <w:tcW w:w="3276" w:type="dxa"/>
            <w:gridSpan w:val="2"/>
          </w:tcPr>
          <w:p w14:paraId="5C73B4FC"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Przeznaczenie terenu</w:t>
            </w:r>
          </w:p>
        </w:tc>
        <w:tc>
          <w:tcPr>
            <w:tcW w:w="4084" w:type="dxa"/>
            <w:gridSpan w:val="4"/>
          </w:tcPr>
          <w:p w14:paraId="5DF30595" w14:textId="77777777" w:rsidR="006C336E" w:rsidRPr="002C627B" w:rsidRDefault="006C336E" w:rsidP="00911BCF">
            <w:pPr>
              <w:ind w:right="-471"/>
              <w:jc w:val="left"/>
              <w:rPr>
                <w:color w:val="000000"/>
              </w:rPr>
            </w:pPr>
            <w:r>
              <w:rPr>
                <w:color w:val="000000"/>
              </w:rPr>
              <w:t>Podstawowe: zabudowa mieszkaniowa wielorodzinna, zabudowa zamieszkania zbiorowego, usługi, handel detaliczny wielkopowierzchniowy</w:t>
            </w:r>
          </w:p>
        </w:tc>
      </w:tr>
      <w:tr w:rsidR="006C336E" w14:paraId="3701946B" w14:textId="77777777" w:rsidTr="00BD3DE0">
        <w:trPr>
          <w:trHeight w:val="222"/>
        </w:trPr>
        <w:tc>
          <w:tcPr>
            <w:tcW w:w="2763" w:type="dxa"/>
            <w:vMerge/>
            <w:shd w:val="clear" w:color="auto" w:fill="D9D9D9"/>
          </w:tcPr>
          <w:p w14:paraId="18EAE47C"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064C25E4"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Maksymalna i minimalna intensywność</w:t>
            </w:r>
            <w:r>
              <w:t xml:space="preserve"> </w:t>
            </w:r>
            <w:r>
              <w:rPr>
                <w:rStyle w:val="markedcontent"/>
              </w:rPr>
              <w:t>zabudowy</w:t>
            </w:r>
          </w:p>
        </w:tc>
        <w:tc>
          <w:tcPr>
            <w:tcW w:w="4084" w:type="dxa"/>
            <w:gridSpan w:val="4"/>
          </w:tcPr>
          <w:p w14:paraId="32566230" w14:textId="77777777" w:rsidR="006C336E" w:rsidRPr="002C627B" w:rsidRDefault="006C336E" w:rsidP="006D7085">
            <w:pPr>
              <w:ind w:right="-471"/>
              <w:rPr>
                <w:color w:val="000000"/>
              </w:rPr>
            </w:pPr>
            <w:r>
              <w:rPr>
                <w:color w:val="000000"/>
              </w:rPr>
              <w:t>Nie określ</w:t>
            </w:r>
            <w:r w:rsidR="002259F5">
              <w:rPr>
                <w:color w:val="000000"/>
              </w:rPr>
              <w:t>a się</w:t>
            </w:r>
          </w:p>
        </w:tc>
      </w:tr>
      <w:tr w:rsidR="006C336E" w14:paraId="532E84A3" w14:textId="77777777" w:rsidTr="00BD3DE0">
        <w:trPr>
          <w:trHeight w:val="222"/>
        </w:trPr>
        <w:tc>
          <w:tcPr>
            <w:tcW w:w="2763" w:type="dxa"/>
            <w:vMerge/>
            <w:shd w:val="clear" w:color="auto" w:fill="D9D9D9"/>
          </w:tcPr>
          <w:p w14:paraId="52A7A390"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043AAB3A"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Maksymalna wysokość zabudowy</w:t>
            </w:r>
          </w:p>
        </w:tc>
        <w:tc>
          <w:tcPr>
            <w:tcW w:w="4084" w:type="dxa"/>
            <w:gridSpan w:val="4"/>
          </w:tcPr>
          <w:p w14:paraId="59C7705D" w14:textId="77777777" w:rsidR="006C336E" w:rsidRPr="002C627B" w:rsidRDefault="006C336E" w:rsidP="00494D44">
            <w:pPr>
              <w:ind w:right="-471"/>
              <w:rPr>
                <w:color w:val="000000"/>
              </w:rPr>
            </w:pPr>
            <w:r>
              <w:rPr>
                <w:color w:val="000000"/>
              </w:rPr>
              <w:t>16</w:t>
            </w:r>
          </w:p>
        </w:tc>
      </w:tr>
      <w:tr w:rsidR="006C336E" w14:paraId="0E90A592" w14:textId="77777777" w:rsidTr="00BD3DE0">
        <w:trPr>
          <w:trHeight w:val="222"/>
        </w:trPr>
        <w:tc>
          <w:tcPr>
            <w:tcW w:w="2763" w:type="dxa"/>
            <w:vMerge/>
            <w:shd w:val="clear" w:color="auto" w:fill="D9D9D9"/>
          </w:tcPr>
          <w:p w14:paraId="3AA34DC9"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25EBF96E"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Minimalny udział procentowy po-</w:t>
            </w:r>
            <w:r>
              <w:br/>
            </w:r>
            <w:r>
              <w:rPr>
                <w:rStyle w:val="markedcontent"/>
              </w:rPr>
              <w:t>wierzchni biologicznie czynnej</w:t>
            </w:r>
          </w:p>
        </w:tc>
        <w:tc>
          <w:tcPr>
            <w:tcW w:w="4084" w:type="dxa"/>
            <w:gridSpan w:val="4"/>
          </w:tcPr>
          <w:p w14:paraId="68CCA988" w14:textId="77777777" w:rsidR="006C336E" w:rsidRPr="002C627B" w:rsidRDefault="002259F5" w:rsidP="00494D44">
            <w:pPr>
              <w:ind w:right="-471"/>
              <w:rPr>
                <w:color w:val="000000"/>
              </w:rPr>
            </w:pPr>
            <w:r>
              <w:rPr>
                <w:color w:val="000000"/>
              </w:rPr>
              <w:t>Nie określa się</w:t>
            </w:r>
            <w:r w:rsidDel="002259F5">
              <w:rPr>
                <w:color w:val="000000"/>
              </w:rPr>
              <w:t xml:space="preserve"> </w:t>
            </w:r>
          </w:p>
        </w:tc>
      </w:tr>
      <w:tr w:rsidR="006C336E" w14:paraId="1ADC3668" w14:textId="77777777" w:rsidTr="00BD3DE0">
        <w:trPr>
          <w:trHeight w:val="222"/>
        </w:trPr>
        <w:tc>
          <w:tcPr>
            <w:tcW w:w="2763" w:type="dxa"/>
            <w:vMerge/>
            <w:shd w:val="clear" w:color="auto" w:fill="D9D9D9"/>
          </w:tcPr>
          <w:p w14:paraId="5E2C7960"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5015D760" w14:textId="77777777" w:rsidR="006C336E" w:rsidRDefault="006C336E" w:rsidP="00494D44">
            <w:pPr>
              <w:pBdr>
                <w:top w:val="nil"/>
                <w:left w:val="nil"/>
                <w:bottom w:val="nil"/>
                <w:right w:val="nil"/>
                <w:between w:val="nil"/>
              </w:pBdr>
              <w:spacing w:before="120"/>
              <w:jc w:val="left"/>
              <w:rPr>
                <w:rStyle w:val="markedcontent"/>
              </w:rPr>
            </w:pPr>
            <w:r>
              <w:rPr>
                <w:rStyle w:val="markedcontent"/>
              </w:rPr>
              <w:t>Minimalna liczba miejsc do parkowania</w:t>
            </w:r>
          </w:p>
          <w:p w14:paraId="6B393F93" w14:textId="60CE7E6F" w:rsidR="004D13ED" w:rsidRDefault="004D13ED" w:rsidP="00494D44">
            <w:pPr>
              <w:pBdr>
                <w:top w:val="nil"/>
                <w:left w:val="nil"/>
                <w:bottom w:val="nil"/>
                <w:right w:val="nil"/>
                <w:between w:val="nil"/>
              </w:pBdr>
              <w:spacing w:before="120"/>
              <w:jc w:val="left"/>
              <w:rPr>
                <w:rFonts w:ascii="Lato" w:eastAsia="Lato" w:hAnsi="Lato" w:cs="Lato"/>
                <w:color w:val="000000"/>
              </w:rPr>
            </w:pPr>
            <w:r w:rsidRPr="00E03319">
              <w:rPr>
                <w:rFonts w:ascii="Lato" w:eastAsia="Lato" w:hAnsi="Lato" w:cs="Lato"/>
                <w:color w:val="000000"/>
                <w:sz w:val="18"/>
              </w:rPr>
              <w:t>(Aktualizacja 29.03.2024 r.)</w:t>
            </w:r>
          </w:p>
        </w:tc>
        <w:tc>
          <w:tcPr>
            <w:tcW w:w="4084" w:type="dxa"/>
            <w:gridSpan w:val="4"/>
          </w:tcPr>
          <w:p w14:paraId="0E48D33B" w14:textId="5E1F01C1" w:rsidR="006C336E" w:rsidRPr="002C627B" w:rsidRDefault="00EB535C" w:rsidP="003E6474">
            <w:pPr>
              <w:ind w:right="-471"/>
              <w:jc w:val="left"/>
              <w:rPr>
                <w:color w:val="000000"/>
              </w:rPr>
            </w:pPr>
            <w:r>
              <w:rPr>
                <w:color w:val="000000"/>
              </w:rPr>
              <w:t xml:space="preserve">29 mieszkań x 1,1 m. p. = 31,9 =&gt; </w:t>
            </w:r>
            <w:r w:rsidRPr="003E6474">
              <w:rPr>
                <w:b/>
                <w:bCs/>
                <w:color w:val="000000"/>
                <w:u w:val="single"/>
              </w:rPr>
              <w:t>32</w:t>
            </w:r>
            <w:r w:rsidR="004D13ED">
              <w:rPr>
                <w:rStyle w:val="Odwoanieprzypisudolnego"/>
                <w:b/>
                <w:bCs/>
                <w:color w:val="000000"/>
                <w:u w:val="single"/>
              </w:rPr>
              <w:footnoteReference w:id="4"/>
            </w:r>
          </w:p>
        </w:tc>
      </w:tr>
      <w:tr w:rsidR="006C336E" w14:paraId="3D804710" w14:textId="77777777" w:rsidTr="00BD3DE0">
        <w:trPr>
          <w:trHeight w:val="222"/>
        </w:trPr>
        <w:tc>
          <w:tcPr>
            <w:tcW w:w="2763" w:type="dxa"/>
            <w:vMerge/>
            <w:shd w:val="clear" w:color="auto" w:fill="D9D9D9"/>
          </w:tcPr>
          <w:p w14:paraId="0D20018F"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1FE89342"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Warunki ochrony środowiska i zdrowia</w:t>
            </w:r>
            <w:r>
              <w:t xml:space="preserve"> </w:t>
            </w:r>
            <w:r>
              <w:rPr>
                <w:rStyle w:val="markedcontent"/>
              </w:rPr>
              <w:t>ludzi, przyrody i krajobrazu</w:t>
            </w:r>
          </w:p>
        </w:tc>
        <w:tc>
          <w:tcPr>
            <w:tcW w:w="4084" w:type="dxa"/>
            <w:gridSpan w:val="4"/>
          </w:tcPr>
          <w:p w14:paraId="38660951" w14:textId="77777777" w:rsidR="006C336E" w:rsidRPr="002C627B" w:rsidRDefault="006C336E" w:rsidP="00EE41BC">
            <w:pPr>
              <w:ind w:right="-471"/>
              <w:jc w:val="left"/>
              <w:rPr>
                <w:color w:val="000000"/>
              </w:rPr>
            </w:pPr>
            <w:r>
              <w:rPr>
                <w:color w:val="000000"/>
              </w:rPr>
              <w:t xml:space="preserve">Obowiązuje zagospodarowanie zielenią, </w:t>
            </w:r>
            <w:r>
              <w:rPr>
                <w:color w:val="000000"/>
              </w:rPr>
              <w:br/>
              <w:t xml:space="preserve">w tym zielenią zimozieloną, wszystkich trenów niezabudowanych </w:t>
            </w:r>
            <w:r>
              <w:rPr>
                <w:color w:val="000000"/>
              </w:rPr>
              <w:br/>
              <w:t>i nieutwardzonych; Dla terenów oznaczonych symbolem MW+U obowiązują standardy akustyczne określone przepisami szczególnymi jak dla terenów w strefie śródmiejskiej miast powyżej 100 tys. Mieszkańców ze zwartą zabudową mieszkaniową i koncentracją obiektów administracji, handlowych i usługowych.</w:t>
            </w:r>
          </w:p>
        </w:tc>
      </w:tr>
      <w:tr w:rsidR="006C336E" w14:paraId="636C7BB3" w14:textId="77777777" w:rsidTr="00BD3DE0">
        <w:trPr>
          <w:trHeight w:val="222"/>
        </w:trPr>
        <w:tc>
          <w:tcPr>
            <w:tcW w:w="2763" w:type="dxa"/>
            <w:vMerge/>
            <w:shd w:val="clear" w:color="auto" w:fill="D9D9D9"/>
          </w:tcPr>
          <w:p w14:paraId="7D32F418"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26CB4145" w14:textId="77777777" w:rsidR="006C336E" w:rsidRDefault="006C336E" w:rsidP="00494D44">
            <w:pPr>
              <w:pBdr>
                <w:top w:val="nil"/>
                <w:left w:val="nil"/>
                <w:bottom w:val="nil"/>
                <w:right w:val="nil"/>
                <w:between w:val="nil"/>
              </w:pBdr>
              <w:spacing w:before="120"/>
              <w:jc w:val="left"/>
              <w:rPr>
                <w:rFonts w:ascii="Lato" w:eastAsia="Lato" w:hAnsi="Lato" w:cs="Lato"/>
                <w:color w:val="000000"/>
              </w:rPr>
            </w:pPr>
            <w:r>
              <w:rPr>
                <w:rStyle w:val="markedcontent"/>
              </w:rPr>
              <w:t>Wymagania dotyczące zabudowy</w:t>
            </w:r>
            <w:r>
              <w:br/>
            </w:r>
            <w:r>
              <w:rPr>
                <w:rStyle w:val="markedcontent"/>
              </w:rPr>
              <w:t>i zagospodarowania terenu położonego</w:t>
            </w:r>
            <w:r>
              <w:t xml:space="preserve"> </w:t>
            </w:r>
            <w:r>
              <w:rPr>
                <w:rStyle w:val="markedcontent"/>
              </w:rPr>
              <w:t>na obszarach szczególnego zagrożenia</w:t>
            </w:r>
            <w:r>
              <w:t xml:space="preserve"> </w:t>
            </w:r>
            <w:r>
              <w:rPr>
                <w:rStyle w:val="markedcontent"/>
              </w:rPr>
              <w:t>powodzią</w:t>
            </w:r>
          </w:p>
        </w:tc>
        <w:tc>
          <w:tcPr>
            <w:tcW w:w="4084" w:type="dxa"/>
            <w:gridSpan w:val="4"/>
          </w:tcPr>
          <w:p w14:paraId="5E93B3FB" w14:textId="77777777" w:rsidR="006C336E" w:rsidRPr="002C627B" w:rsidRDefault="002259F5" w:rsidP="00494D44">
            <w:pPr>
              <w:ind w:right="-471"/>
              <w:rPr>
                <w:color w:val="000000"/>
              </w:rPr>
            </w:pPr>
            <w:r>
              <w:rPr>
                <w:color w:val="000000"/>
              </w:rPr>
              <w:t>Nie określa się</w:t>
            </w:r>
            <w:r w:rsidDel="002259F5">
              <w:rPr>
                <w:color w:val="000000"/>
              </w:rPr>
              <w:t xml:space="preserve"> </w:t>
            </w:r>
          </w:p>
        </w:tc>
      </w:tr>
      <w:tr w:rsidR="006C336E" w14:paraId="616AF21E" w14:textId="77777777" w:rsidTr="00BD3DE0">
        <w:trPr>
          <w:trHeight w:val="222"/>
        </w:trPr>
        <w:tc>
          <w:tcPr>
            <w:tcW w:w="2763" w:type="dxa"/>
            <w:vMerge/>
            <w:shd w:val="clear" w:color="auto" w:fill="D9D9D9"/>
          </w:tcPr>
          <w:p w14:paraId="53D261DC"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49011AF9"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Warunki ochrony dziedzictwa kulturowego i zabytków oraz dóbr kultury</w:t>
            </w:r>
            <w:r>
              <w:t xml:space="preserve"> </w:t>
            </w:r>
            <w:r>
              <w:rPr>
                <w:rStyle w:val="markedcontent"/>
              </w:rPr>
              <w:t>współczesnej</w:t>
            </w:r>
          </w:p>
        </w:tc>
        <w:tc>
          <w:tcPr>
            <w:tcW w:w="4084" w:type="dxa"/>
            <w:gridSpan w:val="4"/>
          </w:tcPr>
          <w:p w14:paraId="4A74AB6E" w14:textId="77777777" w:rsidR="006C336E" w:rsidRPr="003A151A" w:rsidRDefault="006C336E" w:rsidP="003A151A">
            <w:pPr>
              <w:ind w:right="-471"/>
              <w:jc w:val="left"/>
              <w:rPr>
                <w:color w:val="000000"/>
              </w:rPr>
            </w:pPr>
            <w:r>
              <w:rPr>
                <w:color w:val="000000"/>
              </w:rPr>
              <w:t xml:space="preserve">Na całym obszarze objętym planem </w:t>
            </w:r>
            <w:r>
              <w:rPr>
                <w:color w:val="000000"/>
              </w:rPr>
              <w:br/>
              <w:t xml:space="preserve">ustala się strefę ochrony </w:t>
            </w:r>
            <w:r>
              <w:rPr>
                <w:color w:val="000000"/>
              </w:rPr>
              <w:br/>
              <w:t xml:space="preserve">konserwatorskiej, </w:t>
            </w:r>
            <w:r w:rsidRPr="003A151A">
              <w:rPr>
                <w:color w:val="000000"/>
              </w:rPr>
              <w:t>na  całym  obszarze  objętym planem wprowadza się strefę ochrony</w:t>
            </w:r>
            <w:r>
              <w:rPr>
                <w:color w:val="000000"/>
              </w:rPr>
              <w:t xml:space="preserve"> </w:t>
            </w:r>
            <w:r w:rsidRPr="003A151A">
              <w:rPr>
                <w:color w:val="000000"/>
              </w:rPr>
              <w:t>konserwatorskiej  zabytków  archeologicznych,  w  której   wszystkie</w:t>
            </w:r>
          </w:p>
          <w:p w14:paraId="78E18727" w14:textId="77777777" w:rsidR="006C336E" w:rsidRPr="003A151A" w:rsidRDefault="006C336E" w:rsidP="003A151A">
            <w:pPr>
              <w:ind w:right="-471"/>
              <w:jc w:val="left"/>
              <w:rPr>
                <w:color w:val="000000"/>
              </w:rPr>
            </w:pPr>
            <w:r w:rsidRPr="003A151A">
              <w:rPr>
                <w:color w:val="000000"/>
              </w:rPr>
              <w:t>zamierzenia  inwestycyjne,  przed  uzyskaniem  pozwolenia na budowę,</w:t>
            </w:r>
          </w:p>
          <w:p w14:paraId="7F0AEE75" w14:textId="77777777" w:rsidR="006C336E" w:rsidRPr="002C627B" w:rsidRDefault="006C336E" w:rsidP="003A151A">
            <w:pPr>
              <w:ind w:right="-471"/>
              <w:jc w:val="left"/>
              <w:rPr>
                <w:color w:val="000000"/>
              </w:rPr>
            </w:pPr>
            <w:r w:rsidRPr="003A151A">
              <w:rPr>
                <w:color w:val="000000"/>
              </w:rPr>
              <w:t>należy uzgadniać z właściwymi służbami ochrony zabytków</w:t>
            </w:r>
            <w:r>
              <w:rPr>
                <w:color w:val="000000"/>
              </w:rPr>
              <w:br/>
            </w:r>
          </w:p>
        </w:tc>
      </w:tr>
      <w:tr w:rsidR="006C336E" w14:paraId="08080DAF" w14:textId="77777777" w:rsidTr="00BD3DE0">
        <w:trPr>
          <w:trHeight w:val="222"/>
        </w:trPr>
        <w:tc>
          <w:tcPr>
            <w:tcW w:w="2763" w:type="dxa"/>
            <w:vMerge/>
            <w:shd w:val="clear" w:color="auto" w:fill="D9D9D9"/>
          </w:tcPr>
          <w:p w14:paraId="5ED74D3A"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04BA8C3B"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Wymagania dotyczące ochrony innych</w:t>
            </w:r>
            <w:r>
              <w:t xml:space="preserve"> </w:t>
            </w:r>
            <w:r>
              <w:rPr>
                <w:rStyle w:val="markedcontent"/>
              </w:rPr>
              <w:t>terenów lub obiektów podlegających</w:t>
            </w:r>
            <w:r>
              <w:t xml:space="preserve"> </w:t>
            </w:r>
            <w:r>
              <w:rPr>
                <w:rStyle w:val="markedcontent"/>
              </w:rPr>
              <w:t>ochronie na podstawie przepisów odrębnych</w:t>
            </w:r>
          </w:p>
        </w:tc>
        <w:tc>
          <w:tcPr>
            <w:tcW w:w="4084" w:type="dxa"/>
            <w:gridSpan w:val="4"/>
          </w:tcPr>
          <w:p w14:paraId="03A264F7" w14:textId="77777777" w:rsidR="006C336E" w:rsidRPr="002C627B" w:rsidRDefault="002259F5" w:rsidP="00494D44">
            <w:pPr>
              <w:ind w:right="-471"/>
              <w:rPr>
                <w:color w:val="000000"/>
              </w:rPr>
            </w:pPr>
            <w:r>
              <w:rPr>
                <w:color w:val="000000"/>
              </w:rPr>
              <w:t>Nie określa się</w:t>
            </w:r>
            <w:r w:rsidDel="002259F5">
              <w:rPr>
                <w:color w:val="000000"/>
              </w:rPr>
              <w:t xml:space="preserve"> </w:t>
            </w:r>
          </w:p>
        </w:tc>
      </w:tr>
      <w:tr w:rsidR="006C336E" w14:paraId="3F438B25" w14:textId="77777777" w:rsidTr="00BD3DE0">
        <w:trPr>
          <w:trHeight w:val="222"/>
        </w:trPr>
        <w:tc>
          <w:tcPr>
            <w:tcW w:w="2763" w:type="dxa"/>
            <w:vMerge/>
            <w:shd w:val="clear" w:color="auto" w:fill="D9D9D9"/>
          </w:tcPr>
          <w:p w14:paraId="38019DA9"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310A20E1"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Warunki i szczegółowe zasady obsługi</w:t>
            </w:r>
            <w:r>
              <w:t xml:space="preserve"> </w:t>
            </w:r>
            <w:r>
              <w:rPr>
                <w:rStyle w:val="markedcontent"/>
              </w:rPr>
              <w:t>w zakresie komunikacji</w:t>
            </w:r>
          </w:p>
        </w:tc>
        <w:tc>
          <w:tcPr>
            <w:tcW w:w="4084" w:type="dxa"/>
            <w:gridSpan w:val="4"/>
          </w:tcPr>
          <w:p w14:paraId="6C9C3253" w14:textId="77777777" w:rsidR="006C336E" w:rsidRPr="002C627B" w:rsidRDefault="002259F5" w:rsidP="00494D44">
            <w:pPr>
              <w:ind w:right="-471"/>
              <w:rPr>
                <w:color w:val="000000"/>
              </w:rPr>
            </w:pPr>
            <w:r>
              <w:rPr>
                <w:color w:val="000000"/>
              </w:rPr>
              <w:t>Nie określa się</w:t>
            </w:r>
            <w:r w:rsidDel="002259F5">
              <w:rPr>
                <w:color w:val="000000"/>
              </w:rPr>
              <w:t xml:space="preserve"> </w:t>
            </w:r>
          </w:p>
        </w:tc>
      </w:tr>
      <w:tr w:rsidR="006C336E" w14:paraId="38F52816" w14:textId="77777777" w:rsidTr="00BD3DE0">
        <w:trPr>
          <w:trHeight w:val="222"/>
        </w:trPr>
        <w:tc>
          <w:tcPr>
            <w:tcW w:w="2763" w:type="dxa"/>
            <w:vMerge/>
            <w:shd w:val="clear" w:color="auto" w:fill="D9D9D9"/>
          </w:tcPr>
          <w:p w14:paraId="1D3DE0FC"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69ECF584"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Warunki i szczegółowe zasady obsługi</w:t>
            </w:r>
            <w:r>
              <w:t xml:space="preserve"> </w:t>
            </w:r>
            <w:r>
              <w:rPr>
                <w:rStyle w:val="markedcontent"/>
              </w:rPr>
              <w:t>w zakresie infrastruktury technicznej</w:t>
            </w:r>
          </w:p>
        </w:tc>
        <w:tc>
          <w:tcPr>
            <w:tcW w:w="4084" w:type="dxa"/>
            <w:gridSpan w:val="4"/>
            <w:tcBorders>
              <w:bottom w:val="single" w:sz="4" w:space="0" w:color="000000"/>
            </w:tcBorders>
          </w:tcPr>
          <w:p w14:paraId="4293BE37" w14:textId="77777777" w:rsidR="006C336E" w:rsidRPr="002C627B" w:rsidRDefault="006C336E" w:rsidP="00494D44">
            <w:pPr>
              <w:ind w:right="-471"/>
              <w:rPr>
                <w:color w:val="000000"/>
              </w:rPr>
            </w:pPr>
            <w:r>
              <w:rPr>
                <w:color w:val="000000"/>
              </w:rPr>
              <w:t xml:space="preserve">Sieci infrastruktury dopuszcza się </w:t>
            </w:r>
            <w:r>
              <w:rPr>
                <w:color w:val="000000"/>
              </w:rPr>
              <w:br/>
              <w:t>wyłącznie jako podziemne</w:t>
            </w:r>
          </w:p>
        </w:tc>
      </w:tr>
      <w:tr w:rsidR="006C336E" w14:paraId="1EC466B3" w14:textId="77777777" w:rsidTr="00BD3DE0">
        <w:trPr>
          <w:trHeight w:val="787"/>
        </w:trPr>
        <w:tc>
          <w:tcPr>
            <w:tcW w:w="2763" w:type="dxa"/>
            <w:vMerge w:val="restart"/>
            <w:shd w:val="clear" w:color="auto" w:fill="D9D9D9"/>
          </w:tcPr>
          <w:p w14:paraId="300FA13F" w14:textId="77777777" w:rsidR="006C336E" w:rsidRDefault="006C336E" w:rsidP="00494D44">
            <w:pPr>
              <w:pBdr>
                <w:top w:val="nil"/>
                <w:left w:val="nil"/>
                <w:bottom w:val="nil"/>
                <w:right w:val="nil"/>
                <w:between w:val="nil"/>
              </w:pBdr>
              <w:spacing w:before="40"/>
              <w:jc w:val="both"/>
              <w:rPr>
                <w:rFonts w:ascii="Lato" w:eastAsia="Lato" w:hAnsi="Lato" w:cs="Lato"/>
                <w:color w:val="000000"/>
              </w:rPr>
            </w:pPr>
            <w:r>
              <w:rPr>
                <w:rStyle w:val="markedcontent"/>
              </w:rPr>
              <w:t>Ustalenia obowiązującego</w:t>
            </w:r>
            <w:r>
              <w:br/>
            </w:r>
            <w:r>
              <w:rPr>
                <w:rStyle w:val="markedcontent"/>
              </w:rPr>
              <w:t>miejscowego planu</w:t>
            </w:r>
            <w:r>
              <w:br/>
            </w:r>
            <w:r>
              <w:rPr>
                <w:rStyle w:val="markedcontent"/>
              </w:rPr>
              <w:t>zagospodarowania</w:t>
            </w:r>
            <w:r>
              <w:br/>
            </w:r>
            <w:r>
              <w:rPr>
                <w:rStyle w:val="markedcontent"/>
              </w:rPr>
              <w:t>przestrzennego dla działek lub</w:t>
            </w:r>
            <w:r>
              <w:br/>
            </w:r>
            <w:r>
              <w:rPr>
                <w:rStyle w:val="markedcontent"/>
              </w:rPr>
              <w:t>ich fragmentów, znajdujących</w:t>
            </w:r>
            <w:r>
              <w:br/>
            </w:r>
            <w:r>
              <w:rPr>
                <w:rStyle w:val="markedcontent"/>
              </w:rPr>
              <w:t>się w odległości do 100 m</w:t>
            </w:r>
            <w:r>
              <w:br/>
            </w:r>
            <w:r>
              <w:rPr>
                <w:rStyle w:val="markedcontent"/>
              </w:rPr>
              <w:t>od granicy terenu objętego</w:t>
            </w:r>
            <w:r>
              <w:br/>
            </w:r>
            <w:r>
              <w:rPr>
                <w:rStyle w:val="markedcontent"/>
              </w:rPr>
              <w:t>przedsięwzięciem</w:t>
            </w:r>
            <w:r>
              <w:br/>
            </w:r>
            <w:r>
              <w:rPr>
                <w:rStyle w:val="markedcontent"/>
              </w:rPr>
              <w:t>deweloperskim lub zadaniem</w:t>
            </w:r>
            <w:r>
              <w:br/>
            </w:r>
            <w:r>
              <w:rPr>
                <w:rStyle w:val="markedcontent"/>
              </w:rPr>
              <w:t>inwestycyjnym</w:t>
            </w:r>
            <w:r>
              <w:rPr>
                <w:rStyle w:val="markedcontent"/>
                <w:sz w:val="14"/>
                <w:szCs w:val="14"/>
              </w:rPr>
              <w:t>5</w:t>
            </w:r>
          </w:p>
        </w:tc>
        <w:tc>
          <w:tcPr>
            <w:tcW w:w="3276" w:type="dxa"/>
            <w:gridSpan w:val="2"/>
          </w:tcPr>
          <w:p w14:paraId="62A9ABC7"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Przeznaczenie terenu</w:t>
            </w:r>
          </w:p>
        </w:tc>
        <w:tc>
          <w:tcPr>
            <w:tcW w:w="4084" w:type="dxa"/>
            <w:gridSpan w:val="4"/>
          </w:tcPr>
          <w:p w14:paraId="222FCC7C" w14:textId="77777777" w:rsidR="006C336E" w:rsidRPr="002C627B" w:rsidRDefault="006C336E" w:rsidP="00A82189">
            <w:pPr>
              <w:ind w:right="-471"/>
              <w:jc w:val="left"/>
              <w:rPr>
                <w:color w:val="000000"/>
              </w:rPr>
            </w:pPr>
            <w:r>
              <w:rPr>
                <w:color w:val="000000"/>
              </w:rPr>
              <w:t>Podstawowe: zabudowa mieszkaniowa wielorodzinna, zabudowa zamieszkania zbiorowego, usługi, handel detaliczny wielkopowierzchniowy</w:t>
            </w:r>
          </w:p>
        </w:tc>
      </w:tr>
      <w:tr w:rsidR="006C336E" w14:paraId="671A6F89" w14:textId="77777777" w:rsidTr="00BD3DE0">
        <w:trPr>
          <w:trHeight w:val="787"/>
        </w:trPr>
        <w:tc>
          <w:tcPr>
            <w:tcW w:w="2763" w:type="dxa"/>
            <w:vMerge/>
            <w:shd w:val="clear" w:color="auto" w:fill="D9D9D9"/>
          </w:tcPr>
          <w:p w14:paraId="6FA49699"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183266EB"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Maksymalna i minimalna intensywność</w:t>
            </w:r>
            <w:r>
              <w:t xml:space="preserve"> </w:t>
            </w:r>
            <w:r>
              <w:rPr>
                <w:rStyle w:val="markedcontent"/>
              </w:rPr>
              <w:t>zabudowy</w:t>
            </w:r>
          </w:p>
        </w:tc>
        <w:tc>
          <w:tcPr>
            <w:tcW w:w="4084" w:type="dxa"/>
            <w:gridSpan w:val="4"/>
          </w:tcPr>
          <w:p w14:paraId="60A2F83F" w14:textId="77777777" w:rsidR="006C336E" w:rsidRPr="002C627B" w:rsidRDefault="002259F5" w:rsidP="00494D44">
            <w:pPr>
              <w:ind w:right="-471"/>
              <w:rPr>
                <w:color w:val="000000"/>
              </w:rPr>
            </w:pPr>
            <w:r>
              <w:rPr>
                <w:color w:val="000000"/>
              </w:rPr>
              <w:t>Nie określa się</w:t>
            </w:r>
            <w:r w:rsidDel="002259F5">
              <w:rPr>
                <w:color w:val="000000"/>
              </w:rPr>
              <w:t xml:space="preserve"> </w:t>
            </w:r>
          </w:p>
        </w:tc>
      </w:tr>
      <w:tr w:rsidR="006C336E" w14:paraId="7C479AA5" w14:textId="77777777" w:rsidTr="00BD3DE0">
        <w:trPr>
          <w:trHeight w:val="787"/>
        </w:trPr>
        <w:tc>
          <w:tcPr>
            <w:tcW w:w="2763" w:type="dxa"/>
            <w:vMerge/>
            <w:shd w:val="clear" w:color="auto" w:fill="D9D9D9"/>
          </w:tcPr>
          <w:p w14:paraId="7C35D520"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383E1E38"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Maksymalna wysokość zabudowy</w:t>
            </w:r>
          </w:p>
        </w:tc>
        <w:tc>
          <w:tcPr>
            <w:tcW w:w="4084" w:type="dxa"/>
            <w:gridSpan w:val="4"/>
          </w:tcPr>
          <w:p w14:paraId="421A0BE8" w14:textId="77777777" w:rsidR="006C336E" w:rsidRPr="002C627B" w:rsidRDefault="006C336E" w:rsidP="00494D44">
            <w:pPr>
              <w:ind w:right="-471"/>
              <w:rPr>
                <w:color w:val="000000"/>
              </w:rPr>
            </w:pPr>
            <w:r>
              <w:rPr>
                <w:color w:val="000000"/>
              </w:rPr>
              <w:t>55m</w:t>
            </w:r>
          </w:p>
        </w:tc>
      </w:tr>
      <w:tr w:rsidR="006C336E" w14:paraId="15EDB4B9" w14:textId="77777777" w:rsidTr="00BD3DE0">
        <w:trPr>
          <w:trHeight w:val="787"/>
        </w:trPr>
        <w:tc>
          <w:tcPr>
            <w:tcW w:w="2763" w:type="dxa"/>
            <w:vMerge/>
            <w:shd w:val="clear" w:color="auto" w:fill="D9D9D9"/>
          </w:tcPr>
          <w:p w14:paraId="6204A433"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671C26E5"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Minimalny udział procentowy powierzchni biologicznie czynnej</w:t>
            </w:r>
          </w:p>
        </w:tc>
        <w:tc>
          <w:tcPr>
            <w:tcW w:w="4084" w:type="dxa"/>
            <w:gridSpan w:val="4"/>
          </w:tcPr>
          <w:p w14:paraId="3E0D0E63" w14:textId="77777777" w:rsidR="006C336E" w:rsidRPr="002C627B" w:rsidRDefault="00867975" w:rsidP="00887139">
            <w:pPr>
              <w:ind w:right="-471"/>
              <w:rPr>
                <w:color w:val="000000"/>
              </w:rPr>
            </w:pPr>
            <w:r>
              <w:rPr>
                <w:color w:val="000000"/>
              </w:rPr>
              <w:t>Nie określa się</w:t>
            </w:r>
          </w:p>
        </w:tc>
      </w:tr>
      <w:tr w:rsidR="006C336E" w14:paraId="4E0A5764" w14:textId="77777777" w:rsidTr="00BD3DE0">
        <w:trPr>
          <w:trHeight w:val="1693"/>
        </w:trPr>
        <w:tc>
          <w:tcPr>
            <w:tcW w:w="2763" w:type="dxa"/>
            <w:vMerge/>
            <w:shd w:val="clear" w:color="auto" w:fill="D9D9D9"/>
          </w:tcPr>
          <w:p w14:paraId="5B3ADEFE" w14:textId="77777777" w:rsidR="006C336E" w:rsidRDefault="006C336E" w:rsidP="00494D44">
            <w:pPr>
              <w:pBdr>
                <w:top w:val="nil"/>
                <w:left w:val="nil"/>
                <w:bottom w:val="nil"/>
                <w:right w:val="nil"/>
                <w:between w:val="nil"/>
              </w:pBdr>
              <w:spacing w:before="40"/>
              <w:jc w:val="both"/>
              <w:rPr>
                <w:rStyle w:val="markedcontent"/>
              </w:rPr>
            </w:pPr>
          </w:p>
        </w:tc>
        <w:tc>
          <w:tcPr>
            <w:tcW w:w="3276" w:type="dxa"/>
            <w:gridSpan w:val="2"/>
          </w:tcPr>
          <w:p w14:paraId="7C89A28B" w14:textId="77777777" w:rsidR="006C336E" w:rsidRDefault="006C336E" w:rsidP="00494D44">
            <w:pPr>
              <w:pBdr>
                <w:top w:val="nil"/>
                <w:left w:val="nil"/>
                <w:bottom w:val="nil"/>
                <w:right w:val="nil"/>
                <w:between w:val="nil"/>
              </w:pBdr>
              <w:spacing w:before="120"/>
              <w:jc w:val="both"/>
              <w:rPr>
                <w:rFonts w:ascii="Lato" w:eastAsia="Lato" w:hAnsi="Lato" w:cs="Lato"/>
                <w:color w:val="000000"/>
              </w:rPr>
            </w:pPr>
            <w:r>
              <w:rPr>
                <w:rStyle w:val="markedcontent"/>
              </w:rPr>
              <w:t>Minimalna liczba miejsc do parkowania</w:t>
            </w:r>
          </w:p>
        </w:tc>
        <w:tc>
          <w:tcPr>
            <w:tcW w:w="4084" w:type="dxa"/>
            <w:gridSpan w:val="4"/>
            <w:tcBorders>
              <w:bottom w:val="single" w:sz="4" w:space="0" w:color="000000"/>
            </w:tcBorders>
          </w:tcPr>
          <w:p w14:paraId="472D9A65"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a) dla zabudowy mieszkaniowej wielorodzinnej – 1,1 miejsca postojowego</w:t>
            </w:r>
          </w:p>
          <w:p w14:paraId="3B88DDBF"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na 1 mieszkanie,</w:t>
            </w:r>
          </w:p>
          <w:p w14:paraId="0CAFC60D"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b) dla handlu detalicznego wielkopowierzchniowego – 20 miejsc</w:t>
            </w:r>
          </w:p>
          <w:p w14:paraId="4E4D9625"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postojowych na 1000 m2 powierzchni sprzeda</w:t>
            </w:r>
            <w:r w:rsidR="00A27714">
              <w:rPr>
                <w:rFonts w:asciiTheme="minorHAnsi" w:eastAsia="Calibri" w:hAnsiTheme="minorHAnsi" w:cstheme="minorHAnsi"/>
                <w:sz w:val="20"/>
                <w:szCs w:val="20"/>
              </w:rPr>
              <w:t>ż</w:t>
            </w:r>
            <w:r w:rsidRPr="00A547CB">
              <w:rPr>
                <w:rFonts w:asciiTheme="minorHAnsi" w:eastAsia="Calibri" w:hAnsiTheme="minorHAnsi" w:cstheme="minorHAnsi"/>
                <w:sz w:val="20"/>
                <w:szCs w:val="20"/>
              </w:rPr>
              <w:t>y,</w:t>
            </w:r>
          </w:p>
          <w:p w14:paraId="1185F6D7"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 xml:space="preserve">c) dla handlu detalicznego </w:t>
            </w:r>
            <w:proofErr w:type="spellStart"/>
            <w:r w:rsidRPr="00A547CB">
              <w:rPr>
                <w:rFonts w:asciiTheme="minorHAnsi" w:eastAsia="Calibri" w:hAnsiTheme="minorHAnsi" w:cstheme="minorHAnsi"/>
                <w:sz w:val="20"/>
                <w:szCs w:val="20"/>
              </w:rPr>
              <w:t>małopowierzchniowego</w:t>
            </w:r>
            <w:proofErr w:type="spellEnd"/>
            <w:r w:rsidRPr="00A547CB">
              <w:rPr>
                <w:rFonts w:asciiTheme="minorHAnsi" w:eastAsia="Calibri" w:hAnsiTheme="minorHAnsi" w:cstheme="minorHAnsi"/>
                <w:sz w:val="20"/>
                <w:szCs w:val="20"/>
              </w:rPr>
              <w:t xml:space="preserve"> – 15 miejsc</w:t>
            </w:r>
          </w:p>
          <w:p w14:paraId="5B5B5113"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postojowych na 1000 m2 powierzchni sprzeda</w:t>
            </w:r>
            <w:r w:rsidR="00A27714">
              <w:rPr>
                <w:rFonts w:asciiTheme="minorHAnsi" w:eastAsia="Calibri" w:hAnsiTheme="minorHAnsi" w:cstheme="minorHAnsi"/>
                <w:sz w:val="20"/>
                <w:szCs w:val="20"/>
              </w:rPr>
              <w:t>ż</w:t>
            </w:r>
            <w:r w:rsidRPr="00A547CB">
              <w:rPr>
                <w:rFonts w:asciiTheme="minorHAnsi" w:eastAsia="Calibri" w:hAnsiTheme="minorHAnsi" w:cstheme="minorHAnsi"/>
                <w:sz w:val="20"/>
                <w:szCs w:val="20"/>
              </w:rPr>
              <w:t>y,</w:t>
            </w:r>
          </w:p>
          <w:p w14:paraId="59421DDE"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d) dla gastronomii, rozrywki - 12 miejsc postojowych na 1000 m2</w:t>
            </w:r>
          </w:p>
          <w:p w14:paraId="5880B0ED"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powierzchni u</w:t>
            </w:r>
            <w:r w:rsidR="00A27714">
              <w:rPr>
                <w:rFonts w:asciiTheme="minorHAnsi" w:eastAsia="Calibri" w:hAnsiTheme="minorHAnsi" w:cstheme="minorHAnsi"/>
                <w:sz w:val="20"/>
                <w:szCs w:val="20"/>
              </w:rPr>
              <w:t>ż</w:t>
            </w:r>
            <w:r w:rsidRPr="00A547CB">
              <w:rPr>
                <w:rFonts w:asciiTheme="minorHAnsi" w:eastAsia="Calibri" w:hAnsiTheme="minorHAnsi" w:cstheme="minorHAnsi"/>
                <w:sz w:val="20"/>
                <w:szCs w:val="20"/>
              </w:rPr>
              <w:t>ytkowej,</w:t>
            </w:r>
          </w:p>
          <w:p w14:paraId="5C1067C9" w14:textId="54E0DA98"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 xml:space="preserve">e) dla biur oraz </w:t>
            </w:r>
            <w:r w:rsidR="00392A39" w:rsidRPr="00A547CB">
              <w:rPr>
                <w:rFonts w:asciiTheme="minorHAnsi" w:eastAsia="Calibri" w:hAnsiTheme="minorHAnsi" w:cstheme="minorHAnsi"/>
                <w:sz w:val="20"/>
                <w:szCs w:val="20"/>
              </w:rPr>
              <w:t>obiektów</w:t>
            </w:r>
            <w:r w:rsidRPr="00A547CB">
              <w:rPr>
                <w:rFonts w:asciiTheme="minorHAnsi" w:eastAsia="Calibri" w:hAnsiTheme="minorHAnsi" w:cstheme="minorHAnsi"/>
                <w:sz w:val="20"/>
                <w:szCs w:val="20"/>
              </w:rPr>
              <w:t xml:space="preserve"> kongresowych i konferencyjnych - 15 miejsc</w:t>
            </w:r>
          </w:p>
          <w:p w14:paraId="7C6A753D" w14:textId="77777777" w:rsidR="00A27714" w:rsidRPr="00A27714" w:rsidRDefault="00A547CB" w:rsidP="00A27714">
            <w:pPr>
              <w:autoSpaceDE w:val="0"/>
              <w:autoSpaceDN w:val="0"/>
              <w:adjustRightInd w:val="0"/>
              <w:spacing w:after="200" w:line="276" w:lineRule="auto"/>
              <w:jc w:val="left"/>
              <w:rPr>
                <w:rFonts w:asciiTheme="minorHAnsi" w:eastAsia="Calibri" w:hAnsiTheme="minorHAnsi" w:cstheme="minorHAnsi"/>
                <w:sz w:val="20"/>
                <w:szCs w:val="20"/>
              </w:rPr>
            </w:pPr>
            <w:r w:rsidRPr="00A547CB">
              <w:rPr>
                <w:rFonts w:asciiTheme="minorHAnsi" w:eastAsia="Calibri" w:hAnsiTheme="minorHAnsi" w:cstheme="minorHAnsi"/>
                <w:sz w:val="20"/>
                <w:szCs w:val="20"/>
              </w:rPr>
              <w:t>postojowych na 1000 m2 powierzchni u</w:t>
            </w:r>
            <w:r w:rsidR="00A27714">
              <w:rPr>
                <w:rFonts w:asciiTheme="minorHAnsi" w:eastAsia="Calibri" w:hAnsiTheme="minorHAnsi" w:cstheme="minorHAnsi"/>
                <w:sz w:val="20"/>
                <w:szCs w:val="20"/>
              </w:rPr>
              <w:t>ż</w:t>
            </w:r>
            <w:r w:rsidRPr="00A547CB">
              <w:rPr>
                <w:rFonts w:asciiTheme="minorHAnsi" w:eastAsia="Calibri" w:hAnsiTheme="minorHAnsi" w:cstheme="minorHAnsi"/>
                <w:sz w:val="20"/>
                <w:szCs w:val="20"/>
              </w:rPr>
              <w:t>ytkowej,</w:t>
            </w:r>
          </w:p>
          <w:p w14:paraId="1B20A298" w14:textId="77777777" w:rsidR="00A25A11" w:rsidRDefault="00A547CB">
            <w:pPr>
              <w:ind w:right="-471"/>
              <w:rPr>
                <w:rFonts w:asciiTheme="minorHAnsi" w:hAnsiTheme="minorHAnsi" w:cstheme="minorHAnsi"/>
                <w:color w:val="000000"/>
                <w:sz w:val="20"/>
                <w:szCs w:val="20"/>
              </w:rPr>
            </w:pPr>
            <w:r w:rsidRPr="00A547CB">
              <w:rPr>
                <w:rFonts w:asciiTheme="minorHAnsi" w:eastAsia="Calibri" w:hAnsiTheme="minorHAnsi" w:cstheme="minorHAnsi"/>
                <w:sz w:val="20"/>
                <w:szCs w:val="20"/>
              </w:rPr>
              <w:t>f) dla hoteli – 25 miejsc postojowych na 100 miejsc noclegowych;</w:t>
            </w:r>
          </w:p>
        </w:tc>
      </w:tr>
      <w:tr w:rsidR="006C336E" w14:paraId="0BFD3A74" w14:textId="77777777" w:rsidTr="00BD3DE0">
        <w:trPr>
          <w:trHeight w:val="697"/>
        </w:trPr>
        <w:tc>
          <w:tcPr>
            <w:tcW w:w="2763" w:type="dxa"/>
            <w:shd w:val="clear" w:color="auto" w:fill="D9D9D9"/>
          </w:tcPr>
          <w:p w14:paraId="7DC77DAD"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Pr>
                <w:rStyle w:val="markedcontent"/>
              </w:rPr>
              <w:t>Ustalenia decyzji o warunkach</w:t>
            </w:r>
            <w:r>
              <w:br/>
            </w:r>
            <w:r>
              <w:rPr>
                <w:rStyle w:val="markedcontent"/>
              </w:rPr>
              <w:t>zabudowy albo decyzji</w:t>
            </w:r>
            <w:r>
              <w:br/>
            </w:r>
            <w:r>
              <w:rPr>
                <w:rStyle w:val="markedcontent"/>
              </w:rPr>
              <w:t>o ustaleniu lokalizacji</w:t>
            </w:r>
            <w:r>
              <w:br/>
            </w:r>
            <w:r>
              <w:rPr>
                <w:rStyle w:val="markedcontent"/>
              </w:rPr>
              <w:t>inwestycji celu publicznego</w:t>
            </w:r>
            <w:r>
              <w:br/>
            </w:r>
            <w:r>
              <w:rPr>
                <w:rStyle w:val="markedcontent"/>
              </w:rPr>
              <w:t>dla terenu objętego</w:t>
            </w:r>
            <w:r>
              <w:br/>
            </w:r>
            <w:r>
              <w:rPr>
                <w:rStyle w:val="markedcontent"/>
              </w:rPr>
              <w:t>przedsięwzięciem</w:t>
            </w:r>
            <w:r>
              <w:br/>
            </w:r>
            <w:r>
              <w:rPr>
                <w:rStyle w:val="markedcontent"/>
              </w:rPr>
              <w:t>deweloperskim lub zadaniem</w:t>
            </w:r>
            <w:r>
              <w:br/>
            </w:r>
            <w:r>
              <w:rPr>
                <w:rStyle w:val="markedcontent"/>
              </w:rPr>
              <w:t>inwestycyjnym w przypadku</w:t>
            </w:r>
            <w:r>
              <w:br/>
            </w:r>
            <w:r>
              <w:rPr>
                <w:rStyle w:val="markedcontent"/>
              </w:rPr>
              <w:lastRenderedPageBreak/>
              <w:t>braku miejscowego planu</w:t>
            </w:r>
            <w:r>
              <w:br/>
            </w:r>
            <w:r>
              <w:rPr>
                <w:rStyle w:val="markedcontent"/>
              </w:rPr>
              <w:t>zagospodarowania</w:t>
            </w:r>
            <w:r>
              <w:br/>
            </w:r>
            <w:r>
              <w:rPr>
                <w:rStyle w:val="markedcontent"/>
              </w:rPr>
              <w:t>przestrzennego</w:t>
            </w:r>
          </w:p>
        </w:tc>
        <w:tc>
          <w:tcPr>
            <w:tcW w:w="7360" w:type="dxa"/>
            <w:gridSpan w:val="6"/>
          </w:tcPr>
          <w:p w14:paraId="692D5AB1" w14:textId="77777777" w:rsidR="006C336E" w:rsidRPr="002C627B" w:rsidRDefault="006C336E" w:rsidP="00C53FB7">
            <w:pPr>
              <w:ind w:right="-471"/>
              <w:rPr>
                <w:color w:val="000000"/>
              </w:rPr>
            </w:pPr>
            <w:r>
              <w:rPr>
                <w:color w:val="000000"/>
              </w:rPr>
              <w:lastRenderedPageBreak/>
              <w:t>Nie dotyczy</w:t>
            </w:r>
          </w:p>
        </w:tc>
      </w:tr>
      <w:tr w:rsidR="006C336E" w14:paraId="60C1369B" w14:textId="77777777" w:rsidTr="00BD3DE0">
        <w:trPr>
          <w:trHeight w:val="120"/>
        </w:trPr>
        <w:tc>
          <w:tcPr>
            <w:tcW w:w="2763" w:type="dxa"/>
            <w:vMerge w:val="restart"/>
            <w:shd w:val="clear" w:color="auto" w:fill="D9D9D9"/>
          </w:tcPr>
          <w:p w14:paraId="0CB83B2D"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Pr>
                <w:rStyle w:val="markedcontent"/>
              </w:rPr>
              <w:t>Informacje dotyczące</w:t>
            </w:r>
            <w:r>
              <w:br/>
            </w:r>
            <w:r>
              <w:rPr>
                <w:rStyle w:val="markedcontent"/>
              </w:rPr>
              <w:t>przewidzianych inwestycji</w:t>
            </w:r>
            <w:r>
              <w:br/>
            </w:r>
            <w:r>
              <w:rPr>
                <w:rStyle w:val="markedcontent"/>
              </w:rPr>
              <w:t>w promieniu 1 km od terenu</w:t>
            </w:r>
            <w:r>
              <w:br/>
            </w:r>
            <w:r>
              <w:rPr>
                <w:rStyle w:val="markedcontent"/>
              </w:rPr>
              <w:t>objętego przedsięwzięciem</w:t>
            </w:r>
            <w:r>
              <w:br/>
            </w:r>
            <w:r>
              <w:rPr>
                <w:rStyle w:val="markedcontent"/>
              </w:rPr>
              <w:t>deweloperskim lub zadaniem</w:t>
            </w:r>
            <w:r>
              <w:br/>
            </w:r>
            <w:r>
              <w:rPr>
                <w:rStyle w:val="markedcontent"/>
              </w:rPr>
              <w:t>inwestycyjnym</w:t>
            </w:r>
            <w:r>
              <w:rPr>
                <w:rStyle w:val="markedcontent"/>
                <w:sz w:val="14"/>
                <w:szCs w:val="14"/>
              </w:rPr>
              <w:t>6)</w:t>
            </w:r>
            <w:r>
              <w:rPr>
                <w:rStyle w:val="markedcontent"/>
              </w:rPr>
              <w:t>, zawarte w:</w:t>
            </w:r>
          </w:p>
        </w:tc>
        <w:tc>
          <w:tcPr>
            <w:tcW w:w="3276" w:type="dxa"/>
            <w:gridSpan w:val="2"/>
          </w:tcPr>
          <w:p w14:paraId="12C2E852"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miejscowych planach zagospodarowania przestrzennego</w:t>
            </w:r>
          </w:p>
        </w:tc>
        <w:tc>
          <w:tcPr>
            <w:tcW w:w="4084" w:type="dxa"/>
            <w:gridSpan w:val="4"/>
          </w:tcPr>
          <w:p w14:paraId="5A574364" w14:textId="77777777" w:rsidR="006C336E" w:rsidRPr="002C627B" w:rsidRDefault="002259F5" w:rsidP="00887139">
            <w:pPr>
              <w:ind w:right="-471"/>
              <w:rPr>
                <w:color w:val="000000"/>
              </w:rPr>
            </w:pPr>
            <w:r>
              <w:rPr>
                <w:color w:val="000000"/>
              </w:rPr>
              <w:t>Nie określa się</w:t>
            </w:r>
          </w:p>
        </w:tc>
      </w:tr>
      <w:tr w:rsidR="006C336E" w14:paraId="5D435C2A" w14:textId="77777777" w:rsidTr="00BD3DE0">
        <w:trPr>
          <w:trHeight w:val="119"/>
        </w:trPr>
        <w:tc>
          <w:tcPr>
            <w:tcW w:w="2763" w:type="dxa"/>
            <w:vMerge/>
            <w:shd w:val="clear" w:color="auto" w:fill="D9D9D9"/>
          </w:tcPr>
          <w:p w14:paraId="6F58CBFF"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3C96E0DC"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studium uwarunkowań i kierunków zagospodarowania przestrzennego gminy</w:t>
            </w:r>
          </w:p>
        </w:tc>
        <w:tc>
          <w:tcPr>
            <w:tcW w:w="4084" w:type="dxa"/>
            <w:gridSpan w:val="4"/>
          </w:tcPr>
          <w:p w14:paraId="033D2F11"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332AAE35" w14:textId="77777777" w:rsidTr="00BD3DE0">
        <w:trPr>
          <w:trHeight w:val="119"/>
        </w:trPr>
        <w:tc>
          <w:tcPr>
            <w:tcW w:w="2763" w:type="dxa"/>
            <w:vMerge/>
            <w:shd w:val="clear" w:color="auto" w:fill="D9D9D9"/>
          </w:tcPr>
          <w:p w14:paraId="7C33B1EA"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663D5C1C"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decyzjach o warunkach zabudowy</w:t>
            </w:r>
            <w:r>
              <w:br/>
            </w:r>
            <w:r>
              <w:rPr>
                <w:rStyle w:val="markedcontent"/>
              </w:rPr>
              <w:t>i zagospodarowania terenu</w:t>
            </w:r>
          </w:p>
        </w:tc>
        <w:tc>
          <w:tcPr>
            <w:tcW w:w="4084" w:type="dxa"/>
            <w:gridSpan w:val="4"/>
          </w:tcPr>
          <w:p w14:paraId="5B0392FC"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508C5A1A" w14:textId="77777777" w:rsidTr="00BD3DE0">
        <w:trPr>
          <w:trHeight w:val="119"/>
        </w:trPr>
        <w:tc>
          <w:tcPr>
            <w:tcW w:w="2763" w:type="dxa"/>
            <w:vMerge/>
            <w:shd w:val="clear" w:color="auto" w:fill="D9D9D9"/>
          </w:tcPr>
          <w:p w14:paraId="0769E6DF"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04CAB4A9"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decyzjach o środowiskowych uwarunkowaniach</w:t>
            </w:r>
          </w:p>
        </w:tc>
        <w:tc>
          <w:tcPr>
            <w:tcW w:w="4084" w:type="dxa"/>
            <w:gridSpan w:val="4"/>
          </w:tcPr>
          <w:p w14:paraId="6F815AFC"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7722E1C4" w14:textId="77777777" w:rsidTr="00BD3DE0">
        <w:trPr>
          <w:trHeight w:val="119"/>
        </w:trPr>
        <w:tc>
          <w:tcPr>
            <w:tcW w:w="2763" w:type="dxa"/>
            <w:vMerge/>
            <w:shd w:val="clear" w:color="auto" w:fill="D9D9D9"/>
          </w:tcPr>
          <w:p w14:paraId="3369684B"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6DD2DEB5"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uchwałach o obszarach ograniczonego</w:t>
            </w:r>
            <w:r>
              <w:t xml:space="preserve"> </w:t>
            </w:r>
            <w:r>
              <w:rPr>
                <w:rStyle w:val="markedcontent"/>
              </w:rPr>
              <w:t>użytkowania</w:t>
            </w:r>
          </w:p>
        </w:tc>
        <w:tc>
          <w:tcPr>
            <w:tcW w:w="4084" w:type="dxa"/>
            <w:gridSpan w:val="4"/>
          </w:tcPr>
          <w:p w14:paraId="4DB6C14F"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4853C824" w14:textId="77777777" w:rsidTr="00BD3DE0">
        <w:trPr>
          <w:trHeight w:val="119"/>
        </w:trPr>
        <w:tc>
          <w:tcPr>
            <w:tcW w:w="2763" w:type="dxa"/>
            <w:vMerge/>
            <w:shd w:val="clear" w:color="auto" w:fill="D9D9D9"/>
          </w:tcPr>
          <w:p w14:paraId="103C15E4"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6C207EB4"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miejscowych planach odbudowy</w:t>
            </w:r>
          </w:p>
        </w:tc>
        <w:tc>
          <w:tcPr>
            <w:tcW w:w="4084" w:type="dxa"/>
            <w:gridSpan w:val="4"/>
          </w:tcPr>
          <w:p w14:paraId="35A9A60B"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2290845F" w14:textId="77777777" w:rsidTr="00BD3DE0">
        <w:trPr>
          <w:trHeight w:val="119"/>
        </w:trPr>
        <w:tc>
          <w:tcPr>
            <w:tcW w:w="2763" w:type="dxa"/>
            <w:vMerge/>
            <w:shd w:val="clear" w:color="auto" w:fill="D9D9D9"/>
          </w:tcPr>
          <w:p w14:paraId="5131E63E"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025AB836"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mapach zagrożenia powodziowego</w:t>
            </w:r>
            <w:r>
              <w:t xml:space="preserve"> </w:t>
            </w:r>
            <w:r>
              <w:rPr>
                <w:rStyle w:val="markedcontent"/>
              </w:rPr>
              <w:t>i mapach ryzyka powodziowego</w:t>
            </w:r>
          </w:p>
        </w:tc>
        <w:tc>
          <w:tcPr>
            <w:tcW w:w="4084" w:type="dxa"/>
            <w:gridSpan w:val="4"/>
          </w:tcPr>
          <w:p w14:paraId="6D59A15E"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4C1EC03D" w14:textId="77777777" w:rsidTr="00BD3DE0">
        <w:trPr>
          <w:trHeight w:val="119"/>
        </w:trPr>
        <w:tc>
          <w:tcPr>
            <w:tcW w:w="2763" w:type="dxa"/>
            <w:vMerge/>
            <w:shd w:val="clear" w:color="auto" w:fill="D9D9D9"/>
          </w:tcPr>
          <w:p w14:paraId="1D32E63D" w14:textId="77777777" w:rsidR="006C336E" w:rsidRDefault="006C336E" w:rsidP="00C53FB7">
            <w:pPr>
              <w:pBdr>
                <w:top w:val="nil"/>
                <w:left w:val="nil"/>
                <w:bottom w:val="nil"/>
                <w:right w:val="nil"/>
                <w:between w:val="nil"/>
              </w:pBdr>
              <w:spacing w:before="40"/>
              <w:jc w:val="both"/>
              <w:rPr>
                <w:rStyle w:val="markedcontent"/>
              </w:rPr>
            </w:pPr>
          </w:p>
        </w:tc>
        <w:tc>
          <w:tcPr>
            <w:tcW w:w="7360" w:type="dxa"/>
            <w:gridSpan w:val="6"/>
          </w:tcPr>
          <w:p w14:paraId="44B76EB4" w14:textId="77777777" w:rsidR="006C336E" w:rsidRPr="002C627B" w:rsidRDefault="006C336E" w:rsidP="00C53FB7">
            <w:pPr>
              <w:ind w:right="-471"/>
              <w:jc w:val="left"/>
              <w:rPr>
                <w:color w:val="000000"/>
              </w:rPr>
            </w:pPr>
            <w:r>
              <w:rPr>
                <w:rStyle w:val="markedcontent"/>
              </w:rPr>
              <w:t xml:space="preserve">Ustalenia decyzji w zakresie rozmieszczenia inwestycji celu publicznego, </w:t>
            </w:r>
            <w:r>
              <w:rPr>
                <w:rStyle w:val="markedcontent"/>
              </w:rPr>
              <w:br/>
              <w:t>mogące</w:t>
            </w:r>
            <w:r>
              <w:t xml:space="preserve"> </w:t>
            </w:r>
            <w:r>
              <w:rPr>
                <w:rStyle w:val="markedcontent"/>
              </w:rPr>
              <w:t xml:space="preserve">mieć znaczenie dla terenu objętego przedsięwzięciem </w:t>
            </w:r>
            <w:r>
              <w:rPr>
                <w:rStyle w:val="markedcontent"/>
              </w:rPr>
              <w:br/>
              <w:t>deweloperskim lub zadaniem inwestycyjnym:</w:t>
            </w:r>
          </w:p>
        </w:tc>
      </w:tr>
      <w:tr w:rsidR="006C336E" w14:paraId="59E86096" w14:textId="77777777" w:rsidTr="00BD3DE0">
        <w:trPr>
          <w:trHeight w:val="119"/>
        </w:trPr>
        <w:tc>
          <w:tcPr>
            <w:tcW w:w="2763" w:type="dxa"/>
            <w:vMerge/>
            <w:shd w:val="clear" w:color="auto" w:fill="D9D9D9"/>
          </w:tcPr>
          <w:p w14:paraId="52C1BDA0"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6D947851"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zezwoleniu na realizację</w:t>
            </w:r>
            <w:r>
              <w:br/>
            </w:r>
            <w:r>
              <w:rPr>
                <w:rStyle w:val="markedcontent"/>
              </w:rPr>
              <w:t>inwestycji drogowej</w:t>
            </w:r>
          </w:p>
        </w:tc>
        <w:tc>
          <w:tcPr>
            <w:tcW w:w="4084" w:type="dxa"/>
            <w:gridSpan w:val="4"/>
          </w:tcPr>
          <w:p w14:paraId="73D8A96B"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6C336E" w14:paraId="7974B311" w14:textId="77777777" w:rsidTr="00BD3DE0">
        <w:trPr>
          <w:trHeight w:val="119"/>
        </w:trPr>
        <w:tc>
          <w:tcPr>
            <w:tcW w:w="2763" w:type="dxa"/>
            <w:vMerge/>
            <w:shd w:val="clear" w:color="auto" w:fill="D9D9D9"/>
          </w:tcPr>
          <w:p w14:paraId="42CE37EE"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7C446C57"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linii</w:t>
            </w:r>
            <w:r>
              <w:br/>
            </w:r>
            <w:r>
              <w:rPr>
                <w:rStyle w:val="markedcontent"/>
              </w:rPr>
              <w:t>kolejowej</w:t>
            </w:r>
          </w:p>
        </w:tc>
        <w:tc>
          <w:tcPr>
            <w:tcW w:w="4084" w:type="dxa"/>
            <w:gridSpan w:val="4"/>
          </w:tcPr>
          <w:p w14:paraId="67FD3F5D" w14:textId="77777777" w:rsidR="006C336E" w:rsidRPr="002C627B" w:rsidRDefault="002259F5" w:rsidP="006C336E">
            <w:pPr>
              <w:ind w:right="-471"/>
              <w:rPr>
                <w:color w:val="000000"/>
              </w:rPr>
            </w:pPr>
            <w:r>
              <w:rPr>
                <w:color w:val="000000"/>
              </w:rPr>
              <w:t>Nie określa się</w:t>
            </w:r>
          </w:p>
        </w:tc>
      </w:tr>
      <w:tr w:rsidR="006C336E" w14:paraId="5811F70E" w14:textId="77777777" w:rsidTr="00BD3DE0">
        <w:trPr>
          <w:trHeight w:val="119"/>
        </w:trPr>
        <w:tc>
          <w:tcPr>
            <w:tcW w:w="2763" w:type="dxa"/>
            <w:vMerge/>
            <w:shd w:val="clear" w:color="auto" w:fill="D9D9D9"/>
          </w:tcPr>
          <w:p w14:paraId="0D067CAE"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4CE9C918"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zezwoleniu na realizację</w:t>
            </w:r>
            <w:r>
              <w:br/>
            </w:r>
            <w:r>
              <w:rPr>
                <w:rStyle w:val="markedcontent"/>
              </w:rPr>
              <w:t>inwestycji w zakresie lotniska użytku</w:t>
            </w:r>
            <w:r>
              <w:t xml:space="preserve"> </w:t>
            </w:r>
            <w:r>
              <w:rPr>
                <w:rStyle w:val="markedcontent"/>
              </w:rPr>
              <w:t>publicznego</w:t>
            </w:r>
          </w:p>
        </w:tc>
        <w:tc>
          <w:tcPr>
            <w:tcW w:w="4084" w:type="dxa"/>
            <w:gridSpan w:val="4"/>
          </w:tcPr>
          <w:p w14:paraId="3FD48C2A" w14:textId="77777777" w:rsidR="006C336E" w:rsidRPr="002C627B" w:rsidRDefault="002259F5" w:rsidP="006C336E">
            <w:pPr>
              <w:ind w:right="-471"/>
              <w:rPr>
                <w:color w:val="000000"/>
              </w:rPr>
            </w:pPr>
            <w:r>
              <w:rPr>
                <w:color w:val="000000"/>
              </w:rPr>
              <w:t>Nie określa się</w:t>
            </w:r>
          </w:p>
        </w:tc>
      </w:tr>
      <w:tr w:rsidR="006C336E" w14:paraId="54E787A9" w14:textId="77777777" w:rsidTr="00BD3DE0">
        <w:trPr>
          <w:trHeight w:val="119"/>
        </w:trPr>
        <w:tc>
          <w:tcPr>
            <w:tcW w:w="2763" w:type="dxa"/>
            <w:vMerge/>
            <w:shd w:val="clear" w:color="auto" w:fill="D9D9D9"/>
          </w:tcPr>
          <w:p w14:paraId="443FBF15"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5C927127"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pozwoleniu na realizację</w:t>
            </w:r>
            <w:r>
              <w:t xml:space="preserve"> </w:t>
            </w:r>
            <w:r>
              <w:rPr>
                <w:rStyle w:val="markedcontent"/>
              </w:rPr>
              <w:t>inwestycji w zakresie budowli przeciwpowodziowych</w:t>
            </w:r>
          </w:p>
        </w:tc>
        <w:tc>
          <w:tcPr>
            <w:tcW w:w="4084" w:type="dxa"/>
            <w:gridSpan w:val="4"/>
          </w:tcPr>
          <w:p w14:paraId="790BCDEA" w14:textId="77777777" w:rsidR="006C336E" w:rsidRPr="002C627B" w:rsidRDefault="002259F5" w:rsidP="006C336E">
            <w:pPr>
              <w:ind w:right="-471"/>
              <w:rPr>
                <w:color w:val="000000"/>
              </w:rPr>
            </w:pPr>
            <w:r>
              <w:rPr>
                <w:color w:val="000000"/>
              </w:rPr>
              <w:t>Nie określa się</w:t>
            </w:r>
          </w:p>
        </w:tc>
      </w:tr>
      <w:tr w:rsidR="006C336E" w14:paraId="2DA79484" w14:textId="77777777" w:rsidTr="00BD3DE0">
        <w:trPr>
          <w:trHeight w:val="119"/>
        </w:trPr>
        <w:tc>
          <w:tcPr>
            <w:tcW w:w="2763" w:type="dxa"/>
            <w:vMerge/>
            <w:shd w:val="clear" w:color="auto" w:fill="D9D9D9"/>
          </w:tcPr>
          <w:p w14:paraId="514C4FC3"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779CBEDB"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inwestycji w zakresie budowy obiektu energetyki jądrowej</w:t>
            </w:r>
          </w:p>
        </w:tc>
        <w:tc>
          <w:tcPr>
            <w:tcW w:w="4084" w:type="dxa"/>
            <w:gridSpan w:val="4"/>
          </w:tcPr>
          <w:p w14:paraId="5352E1A7" w14:textId="77777777" w:rsidR="006C336E" w:rsidRPr="002C627B" w:rsidRDefault="002259F5" w:rsidP="00C53FB7">
            <w:pPr>
              <w:ind w:right="-471"/>
              <w:rPr>
                <w:color w:val="000000"/>
              </w:rPr>
            </w:pPr>
            <w:r>
              <w:rPr>
                <w:color w:val="000000"/>
              </w:rPr>
              <w:t>Nie określa się</w:t>
            </w:r>
          </w:p>
        </w:tc>
      </w:tr>
      <w:tr w:rsidR="006C336E" w14:paraId="5C663F8D" w14:textId="77777777" w:rsidTr="00BD3DE0">
        <w:trPr>
          <w:trHeight w:val="119"/>
        </w:trPr>
        <w:tc>
          <w:tcPr>
            <w:tcW w:w="2763" w:type="dxa"/>
            <w:vMerge/>
            <w:shd w:val="clear" w:color="auto" w:fill="D9D9D9"/>
          </w:tcPr>
          <w:p w14:paraId="10F9656C"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4AB48F10"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strategicznej inwestycji w zakresie sieci</w:t>
            </w:r>
            <w:r>
              <w:t xml:space="preserve"> </w:t>
            </w:r>
            <w:r>
              <w:rPr>
                <w:rStyle w:val="markedcontent"/>
              </w:rPr>
              <w:t>przesyłowej</w:t>
            </w:r>
          </w:p>
        </w:tc>
        <w:tc>
          <w:tcPr>
            <w:tcW w:w="4084" w:type="dxa"/>
            <w:gridSpan w:val="4"/>
          </w:tcPr>
          <w:p w14:paraId="0BE146D0" w14:textId="77777777" w:rsidR="006C336E" w:rsidRPr="002C627B" w:rsidRDefault="002259F5" w:rsidP="006C336E">
            <w:pPr>
              <w:ind w:right="-471"/>
              <w:rPr>
                <w:color w:val="000000"/>
              </w:rPr>
            </w:pPr>
            <w:r>
              <w:rPr>
                <w:color w:val="000000"/>
              </w:rPr>
              <w:t>Nie określa się</w:t>
            </w:r>
          </w:p>
        </w:tc>
      </w:tr>
      <w:tr w:rsidR="006C336E" w14:paraId="2600CB72" w14:textId="77777777" w:rsidTr="00BD3DE0">
        <w:trPr>
          <w:trHeight w:val="119"/>
        </w:trPr>
        <w:tc>
          <w:tcPr>
            <w:tcW w:w="2763" w:type="dxa"/>
            <w:vMerge/>
            <w:shd w:val="clear" w:color="auto" w:fill="D9D9D9"/>
          </w:tcPr>
          <w:p w14:paraId="59A0E195"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0BFAF769"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regionalnej sieci szerokopasmowej</w:t>
            </w:r>
          </w:p>
        </w:tc>
        <w:tc>
          <w:tcPr>
            <w:tcW w:w="4084" w:type="dxa"/>
            <w:gridSpan w:val="4"/>
          </w:tcPr>
          <w:p w14:paraId="35F2284C" w14:textId="77777777" w:rsidR="006C336E" w:rsidRPr="002C627B" w:rsidRDefault="002259F5" w:rsidP="006C336E">
            <w:pPr>
              <w:ind w:right="-471"/>
              <w:rPr>
                <w:color w:val="000000"/>
              </w:rPr>
            </w:pPr>
            <w:r>
              <w:rPr>
                <w:color w:val="000000"/>
              </w:rPr>
              <w:t>Nie określa się</w:t>
            </w:r>
          </w:p>
        </w:tc>
      </w:tr>
      <w:tr w:rsidR="006C336E" w14:paraId="388A141B" w14:textId="77777777" w:rsidTr="00BD3DE0">
        <w:trPr>
          <w:trHeight w:val="119"/>
        </w:trPr>
        <w:tc>
          <w:tcPr>
            <w:tcW w:w="2763" w:type="dxa"/>
            <w:vMerge/>
            <w:shd w:val="clear" w:color="auto" w:fill="D9D9D9"/>
          </w:tcPr>
          <w:p w14:paraId="0789941B"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4403926C"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inwestycji w zakresie Centralnego Portu Komunikacyjnego</w:t>
            </w:r>
          </w:p>
        </w:tc>
        <w:tc>
          <w:tcPr>
            <w:tcW w:w="4084" w:type="dxa"/>
            <w:gridSpan w:val="4"/>
          </w:tcPr>
          <w:p w14:paraId="5814FF11" w14:textId="77777777" w:rsidR="006C336E" w:rsidRPr="002C627B" w:rsidRDefault="002259F5" w:rsidP="006C336E">
            <w:pPr>
              <w:ind w:right="-471"/>
              <w:rPr>
                <w:color w:val="000000"/>
              </w:rPr>
            </w:pPr>
            <w:r>
              <w:rPr>
                <w:color w:val="000000"/>
              </w:rPr>
              <w:t>Nie określa się</w:t>
            </w:r>
          </w:p>
        </w:tc>
      </w:tr>
      <w:tr w:rsidR="006C336E" w14:paraId="2A22C994" w14:textId="77777777" w:rsidTr="00BD3DE0">
        <w:trPr>
          <w:trHeight w:val="119"/>
        </w:trPr>
        <w:tc>
          <w:tcPr>
            <w:tcW w:w="2763" w:type="dxa"/>
            <w:vMerge/>
            <w:shd w:val="clear" w:color="auto" w:fill="D9D9D9"/>
          </w:tcPr>
          <w:p w14:paraId="24321CFD"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318ECCD5"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zezwoleniu na realizację</w:t>
            </w:r>
            <w:r>
              <w:br/>
            </w:r>
            <w:r>
              <w:rPr>
                <w:rStyle w:val="markedcontent"/>
              </w:rPr>
              <w:t>inwestycji w zakresie infrastruktury</w:t>
            </w:r>
            <w:r>
              <w:t xml:space="preserve"> </w:t>
            </w:r>
            <w:r>
              <w:rPr>
                <w:rStyle w:val="markedcontent"/>
              </w:rPr>
              <w:t>dostępowej</w:t>
            </w:r>
          </w:p>
        </w:tc>
        <w:tc>
          <w:tcPr>
            <w:tcW w:w="4084" w:type="dxa"/>
            <w:gridSpan w:val="4"/>
          </w:tcPr>
          <w:p w14:paraId="4E54E6B0" w14:textId="77777777" w:rsidR="006C336E" w:rsidRPr="002C627B" w:rsidRDefault="002259F5" w:rsidP="006C336E">
            <w:pPr>
              <w:ind w:right="-471"/>
              <w:rPr>
                <w:color w:val="000000"/>
              </w:rPr>
            </w:pPr>
            <w:r>
              <w:rPr>
                <w:color w:val="000000"/>
              </w:rPr>
              <w:t>Nie określa się</w:t>
            </w:r>
          </w:p>
        </w:tc>
      </w:tr>
      <w:tr w:rsidR="006C336E" w14:paraId="288EAA05" w14:textId="77777777" w:rsidTr="00BD3DE0">
        <w:trPr>
          <w:trHeight w:val="119"/>
        </w:trPr>
        <w:tc>
          <w:tcPr>
            <w:tcW w:w="2763" w:type="dxa"/>
            <w:vMerge/>
            <w:shd w:val="clear" w:color="auto" w:fill="D9D9D9"/>
          </w:tcPr>
          <w:p w14:paraId="139BEBDD" w14:textId="77777777" w:rsidR="006C336E" w:rsidRDefault="006C336E" w:rsidP="00C53FB7">
            <w:pPr>
              <w:pBdr>
                <w:top w:val="nil"/>
                <w:left w:val="nil"/>
                <w:bottom w:val="nil"/>
                <w:right w:val="nil"/>
                <w:between w:val="nil"/>
              </w:pBdr>
              <w:spacing w:before="40"/>
              <w:jc w:val="both"/>
              <w:rPr>
                <w:rStyle w:val="markedcontent"/>
              </w:rPr>
            </w:pPr>
          </w:p>
        </w:tc>
        <w:tc>
          <w:tcPr>
            <w:tcW w:w="3276" w:type="dxa"/>
            <w:gridSpan w:val="2"/>
          </w:tcPr>
          <w:p w14:paraId="5FB4407F" w14:textId="77777777" w:rsidR="006C336E" w:rsidRDefault="006C336E" w:rsidP="00C53FB7">
            <w:pPr>
              <w:pBdr>
                <w:top w:val="nil"/>
                <w:left w:val="nil"/>
                <w:bottom w:val="nil"/>
                <w:right w:val="nil"/>
                <w:between w:val="nil"/>
              </w:pBdr>
              <w:spacing w:before="120"/>
              <w:jc w:val="left"/>
              <w:rPr>
                <w:rFonts w:ascii="Lato" w:eastAsia="Lato" w:hAnsi="Lato" w:cs="Lato"/>
                <w:color w:val="000000"/>
              </w:rPr>
            </w:pPr>
            <w:r>
              <w:rPr>
                <w:rStyle w:val="markedcontent"/>
              </w:rPr>
              <w:t>decyzja o ustaleniu lokalizacji strategicznej inwestycji w sektorze naftowym</w:t>
            </w:r>
          </w:p>
        </w:tc>
        <w:tc>
          <w:tcPr>
            <w:tcW w:w="4084" w:type="dxa"/>
            <w:gridSpan w:val="4"/>
            <w:tcBorders>
              <w:bottom w:val="single" w:sz="4" w:space="0" w:color="000000"/>
            </w:tcBorders>
          </w:tcPr>
          <w:p w14:paraId="211B1F5B" w14:textId="77777777" w:rsidR="006C336E" w:rsidRPr="002C627B" w:rsidRDefault="002259F5" w:rsidP="00C53FB7">
            <w:pPr>
              <w:ind w:right="-471"/>
              <w:rPr>
                <w:color w:val="000000"/>
              </w:rPr>
            </w:pPr>
            <w:r>
              <w:rPr>
                <w:color w:val="000000"/>
              </w:rPr>
              <w:t>Nie określa się</w:t>
            </w:r>
            <w:r w:rsidDel="002259F5">
              <w:rPr>
                <w:color w:val="000000"/>
              </w:rPr>
              <w:t xml:space="preserve"> </w:t>
            </w:r>
          </w:p>
        </w:tc>
      </w:tr>
      <w:tr w:rsidR="00867975" w14:paraId="73DF3E62" w14:textId="77777777" w:rsidTr="00BD3DE0">
        <w:trPr>
          <w:trHeight w:val="612"/>
        </w:trPr>
        <w:tc>
          <w:tcPr>
            <w:tcW w:w="10123" w:type="dxa"/>
            <w:gridSpan w:val="7"/>
            <w:tcBorders>
              <w:bottom w:val="single" w:sz="4" w:space="0" w:color="000000"/>
            </w:tcBorders>
            <w:shd w:val="clear" w:color="auto" w:fill="BFBFBF"/>
          </w:tcPr>
          <w:p w14:paraId="041D51FE" w14:textId="77777777" w:rsidR="00867975" w:rsidRDefault="00867975" w:rsidP="00C53FB7">
            <w:pPr>
              <w:pBdr>
                <w:top w:val="nil"/>
                <w:left w:val="nil"/>
                <w:bottom w:val="nil"/>
                <w:right w:val="nil"/>
                <w:between w:val="nil"/>
              </w:pBdr>
              <w:spacing w:before="120" w:after="200" w:line="276" w:lineRule="auto"/>
              <w:jc w:val="left"/>
              <w:rPr>
                <w:rFonts w:ascii="Lato" w:eastAsia="Lato" w:hAnsi="Lato" w:cs="Lato"/>
                <w:b/>
                <w:color w:val="000000"/>
              </w:rPr>
            </w:pPr>
            <w:bookmarkStart w:id="0" w:name="_heading=h.gjdgxs" w:colFirst="0" w:colLast="0"/>
            <w:bookmarkEnd w:id="0"/>
            <w:r>
              <w:rPr>
                <w:rFonts w:ascii="Lato" w:eastAsia="Lato" w:hAnsi="Lato" w:cs="Lato"/>
                <w:b/>
                <w:color w:val="000000"/>
              </w:rPr>
              <w:t>INFORMACJE DOTYCZĄCE BUDYNKU</w:t>
            </w:r>
          </w:p>
        </w:tc>
      </w:tr>
      <w:tr w:rsidR="006C336E" w14:paraId="3481789B" w14:textId="77777777" w:rsidTr="00BD3DE0">
        <w:trPr>
          <w:trHeight w:val="612"/>
        </w:trPr>
        <w:tc>
          <w:tcPr>
            <w:tcW w:w="2763" w:type="dxa"/>
            <w:tcBorders>
              <w:bottom w:val="single" w:sz="4" w:space="0" w:color="000000"/>
            </w:tcBorders>
            <w:shd w:val="clear" w:color="auto" w:fill="D9D9D9"/>
          </w:tcPr>
          <w:p w14:paraId="56692FE2"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Czy jest pozwolenie na budowę</w:t>
            </w:r>
          </w:p>
        </w:tc>
        <w:tc>
          <w:tcPr>
            <w:tcW w:w="3276" w:type="dxa"/>
            <w:gridSpan w:val="2"/>
            <w:tcBorders>
              <w:bottom w:val="single" w:sz="4" w:space="0" w:color="000000"/>
            </w:tcBorders>
          </w:tcPr>
          <w:p w14:paraId="1C5EDBBA" w14:textId="77777777" w:rsidR="006C336E" w:rsidRDefault="006C336E" w:rsidP="00C53FB7">
            <w:pPr>
              <w:rPr>
                <w:rFonts w:ascii="Lato" w:eastAsia="Lato" w:hAnsi="Lato" w:cs="Lato"/>
              </w:rPr>
            </w:pPr>
            <w:r>
              <w:rPr>
                <w:rFonts w:ascii="Lato" w:eastAsia="Lato" w:hAnsi="Lato" w:cs="Lato"/>
              </w:rPr>
              <w:t>tak*</w:t>
            </w:r>
          </w:p>
        </w:tc>
        <w:tc>
          <w:tcPr>
            <w:tcW w:w="4084" w:type="dxa"/>
            <w:gridSpan w:val="4"/>
            <w:tcBorders>
              <w:bottom w:val="single" w:sz="4" w:space="0" w:color="000000"/>
            </w:tcBorders>
          </w:tcPr>
          <w:p w14:paraId="7E203440" w14:textId="77777777" w:rsidR="006C336E" w:rsidRPr="006C336E" w:rsidRDefault="00A547CB" w:rsidP="00507366">
            <w:pPr>
              <w:spacing w:after="200" w:line="276" w:lineRule="auto"/>
              <w:rPr>
                <w:rFonts w:ascii="Lato" w:eastAsia="Lato" w:hAnsi="Lato" w:cs="Lato"/>
                <w:strike/>
              </w:rPr>
            </w:pPr>
            <w:r w:rsidRPr="00A547CB">
              <w:rPr>
                <w:rFonts w:ascii="Lato" w:eastAsia="Lato" w:hAnsi="Lato" w:cs="Lato"/>
                <w:strike/>
                <w:color w:val="000000"/>
              </w:rPr>
              <w:t>nie*</w:t>
            </w:r>
          </w:p>
        </w:tc>
      </w:tr>
      <w:tr w:rsidR="006C336E" w14:paraId="26A21C95" w14:textId="77777777" w:rsidTr="00BD3DE0">
        <w:trPr>
          <w:trHeight w:val="612"/>
        </w:trPr>
        <w:tc>
          <w:tcPr>
            <w:tcW w:w="2763" w:type="dxa"/>
            <w:tcBorders>
              <w:bottom w:val="single" w:sz="4" w:space="0" w:color="000000"/>
            </w:tcBorders>
            <w:shd w:val="clear" w:color="auto" w:fill="D9D9D9"/>
          </w:tcPr>
          <w:p w14:paraId="65FCA7CD"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Czy pozwolenie na budowę jest ostateczne</w:t>
            </w:r>
          </w:p>
        </w:tc>
        <w:tc>
          <w:tcPr>
            <w:tcW w:w="3276" w:type="dxa"/>
            <w:gridSpan w:val="2"/>
            <w:tcBorders>
              <w:bottom w:val="single" w:sz="4" w:space="0" w:color="000000"/>
            </w:tcBorders>
          </w:tcPr>
          <w:p w14:paraId="28BE46FB" w14:textId="77777777" w:rsidR="006C336E" w:rsidRDefault="006C336E" w:rsidP="00C53FB7">
            <w:pPr>
              <w:rPr>
                <w:rFonts w:ascii="Lato" w:eastAsia="Lato" w:hAnsi="Lato" w:cs="Lato"/>
              </w:rPr>
            </w:pPr>
            <w:r>
              <w:rPr>
                <w:rFonts w:ascii="Lato" w:eastAsia="Lato" w:hAnsi="Lato" w:cs="Lato"/>
              </w:rPr>
              <w:t>tak*</w:t>
            </w:r>
          </w:p>
        </w:tc>
        <w:tc>
          <w:tcPr>
            <w:tcW w:w="4084" w:type="dxa"/>
            <w:gridSpan w:val="4"/>
            <w:tcBorders>
              <w:bottom w:val="single" w:sz="4" w:space="0" w:color="000000"/>
            </w:tcBorders>
          </w:tcPr>
          <w:p w14:paraId="26B5C70E" w14:textId="77777777" w:rsidR="006C336E" w:rsidRDefault="00A547CB" w:rsidP="00C53FB7">
            <w:pPr>
              <w:rPr>
                <w:rFonts w:ascii="Lato" w:eastAsia="Lato" w:hAnsi="Lato" w:cs="Lato"/>
                <w:strike/>
                <w:color w:val="000000"/>
              </w:rPr>
            </w:pPr>
            <w:r w:rsidRPr="00A547CB">
              <w:rPr>
                <w:rFonts w:ascii="Lato" w:eastAsia="Lato" w:hAnsi="Lato" w:cs="Lato"/>
                <w:strike/>
                <w:color w:val="000000"/>
              </w:rPr>
              <w:t>nie</w:t>
            </w:r>
            <w:r w:rsidR="006C336E">
              <w:rPr>
                <w:rFonts w:ascii="Lato" w:eastAsia="Lato" w:hAnsi="Lato" w:cs="Lato"/>
                <w:color w:val="000000"/>
              </w:rPr>
              <w:t>*</w:t>
            </w:r>
          </w:p>
        </w:tc>
      </w:tr>
      <w:tr w:rsidR="006C336E" w14:paraId="583CD8FB" w14:textId="77777777" w:rsidTr="00BD3DE0">
        <w:trPr>
          <w:trHeight w:val="612"/>
        </w:trPr>
        <w:tc>
          <w:tcPr>
            <w:tcW w:w="2763" w:type="dxa"/>
            <w:tcBorders>
              <w:bottom w:val="single" w:sz="4" w:space="0" w:color="000000"/>
            </w:tcBorders>
            <w:shd w:val="clear" w:color="auto" w:fill="D9D9D9"/>
          </w:tcPr>
          <w:p w14:paraId="342F5852"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Czy pozwolenie na budowę jest zaskarżone</w:t>
            </w:r>
          </w:p>
        </w:tc>
        <w:tc>
          <w:tcPr>
            <w:tcW w:w="3276" w:type="dxa"/>
            <w:gridSpan w:val="2"/>
            <w:tcBorders>
              <w:bottom w:val="single" w:sz="4" w:space="0" w:color="000000"/>
            </w:tcBorders>
          </w:tcPr>
          <w:p w14:paraId="175C139D" w14:textId="77777777" w:rsidR="006C336E" w:rsidRPr="006C336E" w:rsidRDefault="00A547CB" w:rsidP="00507366">
            <w:pPr>
              <w:spacing w:after="200" w:line="276" w:lineRule="auto"/>
              <w:rPr>
                <w:rFonts w:ascii="Lato" w:eastAsia="Lato" w:hAnsi="Lato" w:cs="Lato"/>
                <w:strike/>
              </w:rPr>
            </w:pPr>
            <w:r w:rsidRPr="00A547CB">
              <w:rPr>
                <w:rFonts w:ascii="Lato" w:eastAsia="Lato" w:hAnsi="Lato" w:cs="Lato"/>
                <w:strike/>
              </w:rPr>
              <w:t>tak*</w:t>
            </w:r>
          </w:p>
        </w:tc>
        <w:tc>
          <w:tcPr>
            <w:tcW w:w="4084" w:type="dxa"/>
            <w:gridSpan w:val="4"/>
            <w:tcBorders>
              <w:bottom w:val="single" w:sz="4" w:space="0" w:color="000000"/>
            </w:tcBorders>
          </w:tcPr>
          <w:p w14:paraId="42692F00" w14:textId="77777777" w:rsidR="006C336E" w:rsidRDefault="006C336E" w:rsidP="00C53FB7">
            <w:pPr>
              <w:pBdr>
                <w:top w:val="nil"/>
                <w:left w:val="nil"/>
                <w:bottom w:val="nil"/>
                <w:right w:val="nil"/>
                <w:between w:val="nil"/>
              </w:pBdr>
              <w:spacing w:before="30" w:after="200" w:line="276" w:lineRule="auto"/>
              <w:rPr>
                <w:rFonts w:ascii="Lato" w:eastAsia="Lato" w:hAnsi="Lato" w:cs="Lato"/>
                <w:color w:val="000000"/>
              </w:rPr>
            </w:pPr>
            <w:r>
              <w:rPr>
                <w:rFonts w:ascii="Lato" w:eastAsia="Lato" w:hAnsi="Lato" w:cs="Lato"/>
                <w:color w:val="000000"/>
              </w:rPr>
              <w:t>nie*</w:t>
            </w:r>
          </w:p>
        </w:tc>
      </w:tr>
      <w:tr w:rsidR="006C336E" w14:paraId="416CF063" w14:textId="77777777" w:rsidTr="00BD3DE0">
        <w:trPr>
          <w:trHeight w:val="612"/>
        </w:trPr>
        <w:tc>
          <w:tcPr>
            <w:tcW w:w="2763" w:type="dxa"/>
            <w:shd w:val="clear" w:color="auto" w:fill="D9D9D9"/>
          </w:tcPr>
          <w:p w14:paraId="315D080D"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t>Nr pozwolenia na budowę oraz nazwa organu, który je wydał</w:t>
            </w:r>
          </w:p>
        </w:tc>
        <w:tc>
          <w:tcPr>
            <w:tcW w:w="7360" w:type="dxa"/>
            <w:gridSpan w:val="6"/>
          </w:tcPr>
          <w:p w14:paraId="590A9FA8" w14:textId="77777777" w:rsidR="006C336E" w:rsidRPr="003B3F49" w:rsidRDefault="006C336E" w:rsidP="00C53FB7">
            <w:r w:rsidRPr="003B3F49">
              <w:t>Decyzja nr 4479/2021 z dn. 30.12.2021r. wydana przez Prezydenta Wrocławia</w:t>
            </w:r>
          </w:p>
          <w:p w14:paraId="079BCE12" w14:textId="77777777" w:rsidR="006C336E" w:rsidRDefault="006C336E" w:rsidP="00C53FB7">
            <w:r w:rsidRPr="003B3F49">
              <w:t>Decyzja nr 1456/2022 z dn. 22.06.2022 r. przenosząca pozwolenie na budowę na Dewelopera wydana przez Prezydenta Wrocławia</w:t>
            </w:r>
          </w:p>
          <w:p w14:paraId="7F3D3A70" w14:textId="77777777" w:rsidR="006C336E" w:rsidRDefault="006C336E" w:rsidP="00C53FB7"/>
          <w:p w14:paraId="6AF7D9D7" w14:textId="77777777" w:rsidR="006C336E" w:rsidRDefault="006C336E" w:rsidP="00C53FB7">
            <w:pPr>
              <w:jc w:val="both"/>
              <w:rPr>
                <w:rFonts w:ascii="Lato" w:eastAsia="Lato" w:hAnsi="Lato" w:cs="Lato"/>
                <w:highlight w:val="yellow"/>
              </w:rPr>
            </w:pPr>
          </w:p>
        </w:tc>
      </w:tr>
      <w:tr w:rsidR="006C336E" w14:paraId="7106B1C3" w14:textId="77777777" w:rsidTr="00BD3DE0">
        <w:trPr>
          <w:trHeight w:val="612"/>
        </w:trPr>
        <w:tc>
          <w:tcPr>
            <w:tcW w:w="2763" w:type="dxa"/>
            <w:shd w:val="clear" w:color="auto" w:fill="D9D9D9"/>
          </w:tcPr>
          <w:p w14:paraId="35EBD8AE"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8C2AB2">
              <w:rPr>
                <w:rFonts w:ascii="Lato" w:eastAsia="Lato" w:hAnsi="Lato" w:cs="Lato"/>
                <w:color w:val="000000"/>
              </w:rPr>
              <w:t>Data</w:t>
            </w:r>
            <w:r>
              <w:rPr>
                <w:rFonts w:ascii="Lato" w:eastAsia="Lato" w:hAnsi="Lato" w:cs="Lato"/>
                <w:color w:val="000000"/>
              </w:rPr>
              <w:t xml:space="preserve"> </w:t>
            </w:r>
            <w:r w:rsidRPr="008C2AB2">
              <w:rPr>
                <w:rFonts w:ascii="Lato" w:eastAsia="Lato" w:hAnsi="Lato" w:cs="Lato"/>
                <w:color w:val="000000"/>
              </w:rPr>
              <w:t>uprawomocnienia się decyzji o pozwoleniu na użytkowanie budynku</w:t>
            </w:r>
          </w:p>
          <w:p w14:paraId="0B4ED35F" w14:textId="33E459BD" w:rsidR="004D13ED" w:rsidRDefault="004D13ED" w:rsidP="00C53FB7">
            <w:pPr>
              <w:pBdr>
                <w:top w:val="nil"/>
                <w:left w:val="nil"/>
                <w:bottom w:val="nil"/>
                <w:right w:val="nil"/>
                <w:between w:val="nil"/>
              </w:pBdr>
              <w:spacing w:before="40"/>
              <w:jc w:val="both"/>
              <w:rPr>
                <w:rFonts w:ascii="Lato" w:eastAsia="Lato" w:hAnsi="Lato" w:cs="Lato"/>
                <w:color w:val="000000"/>
              </w:rPr>
            </w:pPr>
            <w:r w:rsidRPr="000A2679">
              <w:rPr>
                <w:rFonts w:ascii="Lato" w:eastAsia="Lato" w:hAnsi="Lato" w:cs="Lato"/>
                <w:color w:val="000000"/>
                <w:sz w:val="18"/>
              </w:rPr>
              <w:t>(Aktualizacja 29.03.2024 r.)</w:t>
            </w:r>
          </w:p>
        </w:tc>
        <w:tc>
          <w:tcPr>
            <w:tcW w:w="7360" w:type="dxa"/>
            <w:gridSpan w:val="6"/>
            <w:shd w:val="clear" w:color="auto" w:fill="auto"/>
          </w:tcPr>
          <w:p w14:paraId="6A0F88F9" w14:textId="75E13AE8" w:rsidR="006C336E" w:rsidRDefault="006C336E" w:rsidP="00C53FB7">
            <w:pPr>
              <w:spacing w:before="30"/>
              <w:rPr>
                <w:rFonts w:ascii="Lato" w:eastAsia="Lato" w:hAnsi="Lato" w:cs="Lato"/>
              </w:rPr>
            </w:pPr>
            <w:r>
              <w:rPr>
                <w:rFonts w:ascii="Lato" w:eastAsia="Lato" w:hAnsi="Lato" w:cs="Lato"/>
              </w:rPr>
              <w:t xml:space="preserve">Przewiduje się </w:t>
            </w:r>
            <w:r w:rsidR="00AF5C1E">
              <w:rPr>
                <w:rFonts w:ascii="Lato" w:eastAsia="Lato" w:hAnsi="Lato" w:cs="Lato"/>
              </w:rPr>
              <w:t xml:space="preserve">do </w:t>
            </w:r>
            <w:r w:rsidR="00C35F3F">
              <w:rPr>
                <w:rFonts w:ascii="Lato" w:eastAsia="Lato" w:hAnsi="Lato" w:cs="Lato"/>
                <w:u w:val="single"/>
              </w:rPr>
              <w:t>3</w:t>
            </w:r>
            <w:r w:rsidR="00245713">
              <w:rPr>
                <w:rFonts w:ascii="Lato" w:eastAsia="Lato" w:hAnsi="Lato" w:cs="Lato"/>
                <w:u w:val="single"/>
              </w:rPr>
              <w:t>0</w:t>
            </w:r>
            <w:r w:rsidR="00C35F3F" w:rsidRPr="00CD5EF2">
              <w:rPr>
                <w:rFonts w:ascii="Lato" w:eastAsia="Lato" w:hAnsi="Lato" w:cs="Lato"/>
                <w:u w:val="single"/>
              </w:rPr>
              <w:t xml:space="preserve"> </w:t>
            </w:r>
            <w:r w:rsidR="00245713">
              <w:rPr>
                <w:rFonts w:ascii="Lato" w:eastAsia="Lato" w:hAnsi="Lato" w:cs="Lato"/>
                <w:u w:val="single"/>
              </w:rPr>
              <w:t>kwietnia</w:t>
            </w:r>
            <w:r w:rsidR="006D07D5">
              <w:rPr>
                <w:rFonts w:ascii="Lato" w:eastAsia="Lato" w:hAnsi="Lato" w:cs="Lato"/>
                <w:u w:val="single"/>
              </w:rPr>
              <w:t xml:space="preserve"> </w:t>
            </w:r>
            <w:r w:rsidRPr="00CD5EF2">
              <w:rPr>
                <w:rFonts w:ascii="Lato" w:eastAsia="Lato" w:hAnsi="Lato" w:cs="Lato"/>
                <w:u w:val="single"/>
              </w:rPr>
              <w:t>202</w:t>
            </w:r>
            <w:r w:rsidR="006D07D5">
              <w:rPr>
                <w:rFonts w:ascii="Lato" w:eastAsia="Lato" w:hAnsi="Lato" w:cs="Lato"/>
                <w:u w:val="single"/>
              </w:rPr>
              <w:t>5</w:t>
            </w:r>
            <w:r w:rsidRPr="00CD5EF2">
              <w:rPr>
                <w:rFonts w:ascii="Lato" w:eastAsia="Lato" w:hAnsi="Lato" w:cs="Lato"/>
                <w:u w:val="single"/>
              </w:rPr>
              <w:t>r.</w:t>
            </w:r>
            <w:r w:rsidR="00507366" w:rsidRPr="00CD5EF2">
              <w:rPr>
                <w:rStyle w:val="Odwoanieprzypisudolnego"/>
                <w:rFonts w:ascii="Lato" w:eastAsia="Lato" w:hAnsi="Lato" w:cs="Lato"/>
                <w:u w:val="single"/>
              </w:rPr>
              <w:footnoteReference w:id="5"/>
            </w:r>
          </w:p>
        </w:tc>
      </w:tr>
      <w:tr w:rsidR="006C336E" w14:paraId="3B76CBFD" w14:textId="77777777" w:rsidTr="00BD3DE0">
        <w:trPr>
          <w:trHeight w:val="612"/>
        </w:trPr>
        <w:tc>
          <w:tcPr>
            <w:tcW w:w="2763" w:type="dxa"/>
            <w:shd w:val="clear" w:color="auto" w:fill="D9D9D9"/>
          </w:tcPr>
          <w:p w14:paraId="28DE88F7" w14:textId="77777777" w:rsidR="006C336E" w:rsidRPr="008C2AB2" w:rsidRDefault="006C336E" w:rsidP="00C53FB7">
            <w:pPr>
              <w:pBdr>
                <w:top w:val="nil"/>
                <w:left w:val="nil"/>
                <w:bottom w:val="nil"/>
                <w:right w:val="nil"/>
                <w:between w:val="nil"/>
              </w:pBdr>
              <w:spacing w:before="40"/>
              <w:jc w:val="both"/>
              <w:rPr>
                <w:rFonts w:ascii="Lato" w:eastAsia="Lato" w:hAnsi="Lato" w:cs="Lato"/>
                <w:color w:val="000000"/>
              </w:rPr>
            </w:pPr>
            <w:r w:rsidRPr="008C2AB2">
              <w:rPr>
                <w:rFonts w:ascii="Lato" w:eastAsia="Lato" w:hAnsi="Lato" w:cs="Lato"/>
                <w:color w:val="000000"/>
              </w:rPr>
              <w:t>Numer</w:t>
            </w:r>
            <w:r>
              <w:rPr>
                <w:rFonts w:ascii="Lato" w:eastAsia="Lato" w:hAnsi="Lato" w:cs="Lato"/>
                <w:color w:val="000000"/>
              </w:rPr>
              <w:t xml:space="preserve"> </w:t>
            </w:r>
            <w:r w:rsidRPr="008C2AB2">
              <w:rPr>
                <w:rFonts w:ascii="Lato" w:eastAsia="Lato" w:hAnsi="Lato" w:cs="Lato"/>
                <w:color w:val="000000"/>
              </w:rPr>
              <w:t>zgłoszenia budowy, o której mowa w art. 29 ust. 1 pkt 1 ustawy z dnia 7 lipca 1994 r. – Prawo budowlane (Dz. U. z 2020 r. poz. 1333, 2127 i 2320 oraz z 2021 r. poz. 11, 234, 282 i 784), oraz oznaczenie organu, do którego dokonano zgłoszenia, wraz z informacją o braku wniesienia sprzeciwu przez ten organ</w:t>
            </w:r>
          </w:p>
        </w:tc>
        <w:tc>
          <w:tcPr>
            <w:tcW w:w="7360" w:type="dxa"/>
            <w:gridSpan w:val="6"/>
            <w:shd w:val="clear" w:color="auto" w:fill="auto"/>
          </w:tcPr>
          <w:p w14:paraId="7C3940C5" w14:textId="77777777" w:rsidR="006C336E" w:rsidRDefault="006C336E" w:rsidP="00C53FB7">
            <w:pPr>
              <w:spacing w:before="30"/>
              <w:rPr>
                <w:rFonts w:ascii="Lato" w:eastAsia="Lato" w:hAnsi="Lato" w:cs="Lato"/>
              </w:rPr>
            </w:pPr>
            <w:r>
              <w:rPr>
                <w:rFonts w:ascii="Lato" w:eastAsia="Lato" w:hAnsi="Lato" w:cs="Lato"/>
              </w:rPr>
              <w:t>Nie dotyczy</w:t>
            </w:r>
          </w:p>
        </w:tc>
      </w:tr>
      <w:tr w:rsidR="006C336E" w14:paraId="75AAD50E" w14:textId="77777777" w:rsidTr="00BD3DE0">
        <w:trPr>
          <w:trHeight w:val="612"/>
        </w:trPr>
        <w:tc>
          <w:tcPr>
            <w:tcW w:w="2763" w:type="dxa"/>
            <w:shd w:val="clear" w:color="auto" w:fill="D9D9D9"/>
          </w:tcPr>
          <w:p w14:paraId="577C7DA7" w14:textId="77777777" w:rsidR="006C336E" w:rsidRPr="008C2AB2" w:rsidRDefault="006C336E" w:rsidP="00C53FB7">
            <w:pPr>
              <w:pBdr>
                <w:top w:val="nil"/>
                <w:left w:val="nil"/>
                <w:bottom w:val="nil"/>
                <w:right w:val="nil"/>
                <w:between w:val="nil"/>
              </w:pBdr>
              <w:spacing w:before="40"/>
              <w:jc w:val="both"/>
              <w:rPr>
                <w:rFonts w:ascii="Lato" w:eastAsia="Lato" w:hAnsi="Lato" w:cs="Lato"/>
                <w:color w:val="000000"/>
              </w:rPr>
            </w:pPr>
            <w:r w:rsidRPr="008C2AB2">
              <w:rPr>
                <w:rFonts w:ascii="Lato" w:eastAsia="Lato" w:hAnsi="Lato" w:cs="Lato"/>
                <w:color w:val="000000"/>
              </w:rPr>
              <w:t>Data zakończenia budowy domu jednorodzinnego</w:t>
            </w:r>
          </w:p>
        </w:tc>
        <w:tc>
          <w:tcPr>
            <w:tcW w:w="7360" w:type="dxa"/>
            <w:gridSpan w:val="6"/>
            <w:shd w:val="clear" w:color="auto" w:fill="auto"/>
          </w:tcPr>
          <w:p w14:paraId="5DED5A37" w14:textId="77777777" w:rsidR="006C336E" w:rsidRDefault="006C336E" w:rsidP="00C53FB7">
            <w:pPr>
              <w:spacing w:before="30"/>
              <w:rPr>
                <w:rFonts w:ascii="Lato" w:eastAsia="Lato" w:hAnsi="Lato" w:cs="Lato"/>
              </w:rPr>
            </w:pPr>
            <w:r>
              <w:rPr>
                <w:rFonts w:ascii="Lato" w:eastAsia="Lato" w:hAnsi="Lato" w:cs="Lato"/>
              </w:rPr>
              <w:t>Nie dotyczy</w:t>
            </w:r>
          </w:p>
        </w:tc>
      </w:tr>
      <w:tr w:rsidR="006C336E" w14:paraId="1D74C27F" w14:textId="77777777" w:rsidTr="00BD3DE0">
        <w:trPr>
          <w:trHeight w:val="612"/>
        </w:trPr>
        <w:tc>
          <w:tcPr>
            <w:tcW w:w="2763" w:type="dxa"/>
            <w:shd w:val="clear" w:color="auto" w:fill="D9D9D9"/>
          </w:tcPr>
          <w:p w14:paraId="5A5368EC" w14:textId="77777777" w:rsidR="006C336E" w:rsidRDefault="006C336E" w:rsidP="00E03319">
            <w:pPr>
              <w:pBdr>
                <w:top w:val="nil"/>
                <w:left w:val="nil"/>
                <w:bottom w:val="nil"/>
                <w:right w:val="nil"/>
                <w:between w:val="nil"/>
              </w:pBdr>
              <w:spacing w:before="40" w:line="276" w:lineRule="auto"/>
              <w:jc w:val="both"/>
              <w:rPr>
                <w:rFonts w:ascii="Lato" w:eastAsia="Lato" w:hAnsi="Lato" w:cs="Lato"/>
                <w:color w:val="000000"/>
              </w:rPr>
            </w:pPr>
            <w:bookmarkStart w:id="1" w:name="_heading=h.3znysh7" w:colFirst="0" w:colLast="0"/>
            <w:bookmarkEnd w:id="1"/>
            <w:r>
              <w:rPr>
                <w:rFonts w:ascii="Lato" w:eastAsia="Lato" w:hAnsi="Lato" w:cs="Lato"/>
                <w:color w:val="000000"/>
              </w:rPr>
              <w:t>Planowany</w:t>
            </w:r>
            <w:r>
              <w:rPr>
                <w:rFonts w:ascii="Lato" w:eastAsia="Lato" w:hAnsi="Lato" w:cs="Lato"/>
              </w:rPr>
              <w:t xml:space="preserve"> </w:t>
            </w:r>
            <w:r>
              <w:rPr>
                <w:rFonts w:ascii="Lato" w:eastAsia="Lato" w:hAnsi="Lato" w:cs="Lato"/>
                <w:color w:val="000000"/>
              </w:rPr>
              <w:t>termin rozpoczęcia i zakończenia robót budowlanych</w:t>
            </w:r>
          </w:p>
          <w:p w14:paraId="35BC7B90" w14:textId="4CED0797" w:rsidR="004D13ED" w:rsidRDefault="004D13ED" w:rsidP="006C336E">
            <w:pPr>
              <w:pBdr>
                <w:top w:val="nil"/>
                <w:left w:val="nil"/>
                <w:bottom w:val="nil"/>
                <w:right w:val="nil"/>
                <w:between w:val="nil"/>
              </w:pBdr>
              <w:spacing w:before="40" w:after="200" w:line="276" w:lineRule="auto"/>
              <w:jc w:val="both"/>
              <w:rPr>
                <w:rFonts w:ascii="Lato" w:eastAsia="Lato" w:hAnsi="Lato" w:cs="Lato"/>
                <w:color w:val="000000"/>
              </w:rPr>
            </w:pPr>
            <w:r w:rsidRPr="000A2679">
              <w:rPr>
                <w:rFonts w:ascii="Lato" w:eastAsia="Lato" w:hAnsi="Lato" w:cs="Lato"/>
                <w:color w:val="000000"/>
                <w:sz w:val="18"/>
              </w:rPr>
              <w:t>(Aktualizacja 29.03.2024 r.)</w:t>
            </w:r>
          </w:p>
        </w:tc>
        <w:tc>
          <w:tcPr>
            <w:tcW w:w="7360" w:type="dxa"/>
            <w:gridSpan w:val="6"/>
            <w:shd w:val="clear" w:color="auto" w:fill="auto"/>
          </w:tcPr>
          <w:p w14:paraId="1ADD185C" w14:textId="0A344DF5" w:rsidR="006C336E" w:rsidRDefault="006C336E" w:rsidP="00C53FB7">
            <w:pPr>
              <w:spacing w:before="30"/>
              <w:rPr>
                <w:rFonts w:ascii="Lato" w:eastAsia="Lato" w:hAnsi="Lato" w:cs="Lato"/>
              </w:rPr>
            </w:pPr>
            <w:r>
              <w:rPr>
                <w:rFonts w:ascii="Lato" w:eastAsia="Lato" w:hAnsi="Lato" w:cs="Lato"/>
              </w:rPr>
              <w:t xml:space="preserve">rozpoczęcie prac budowlanych: </w:t>
            </w:r>
            <w:r w:rsidR="009B447D" w:rsidRPr="004316ED">
              <w:t>26</w:t>
            </w:r>
            <w:r w:rsidRPr="004316ED">
              <w:t xml:space="preserve"> </w:t>
            </w:r>
            <w:r w:rsidR="009B447D" w:rsidRPr="004316ED">
              <w:t xml:space="preserve">lutego </w:t>
            </w:r>
            <w:r w:rsidRPr="004316ED">
              <w:t>2022</w:t>
            </w:r>
            <w:r>
              <w:t xml:space="preserve"> </w:t>
            </w:r>
            <w:r>
              <w:rPr>
                <w:rFonts w:ascii="Lato" w:eastAsia="Lato" w:hAnsi="Lato" w:cs="Lato"/>
              </w:rPr>
              <w:t>roku</w:t>
            </w:r>
          </w:p>
          <w:p w14:paraId="2EFC3B1E" w14:textId="57069F2C" w:rsidR="006C336E" w:rsidRDefault="006C336E" w:rsidP="00C53FB7">
            <w:pPr>
              <w:spacing w:before="30"/>
              <w:rPr>
                <w:rFonts w:ascii="Lato" w:eastAsia="Lato" w:hAnsi="Lato" w:cs="Lato"/>
              </w:rPr>
            </w:pPr>
            <w:r>
              <w:rPr>
                <w:rFonts w:ascii="Lato" w:eastAsia="Lato" w:hAnsi="Lato" w:cs="Lato"/>
              </w:rPr>
              <w:t xml:space="preserve">zakończenie prac budowlanych: </w:t>
            </w:r>
            <w:r w:rsidR="00E94720">
              <w:rPr>
                <w:u w:val="single"/>
              </w:rPr>
              <w:t>24 kwietnia</w:t>
            </w:r>
            <w:r w:rsidR="00C35F3F">
              <w:rPr>
                <w:u w:val="single"/>
              </w:rPr>
              <w:t xml:space="preserve"> </w:t>
            </w:r>
            <w:r w:rsidRPr="00CD5EF2">
              <w:rPr>
                <w:u w:val="single"/>
              </w:rPr>
              <w:t>202</w:t>
            </w:r>
            <w:r w:rsidR="006D07D5">
              <w:rPr>
                <w:u w:val="single"/>
              </w:rPr>
              <w:t>5</w:t>
            </w:r>
            <w:r>
              <w:t xml:space="preserve"> </w:t>
            </w:r>
            <w:r>
              <w:rPr>
                <w:rFonts w:ascii="Lato" w:eastAsia="Lato" w:hAnsi="Lato" w:cs="Lato"/>
              </w:rPr>
              <w:t>roku</w:t>
            </w:r>
            <w:r w:rsidR="00036A14">
              <w:rPr>
                <w:rStyle w:val="Odwoanieprzypisudolnego"/>
                <w:rFonts w:ascii="Lato" w:eastAsia="Lato" w:hAnsi="Lato" w:cs="Lato"/>
              </w:rPr>
              <w:footnoteReference w:id="6"/>
            </w:r>
          </w:p>
        </w:tc>
      </w:tr>
      <w:tr w:rsidR="006C336E" w14:paraId="672D872B" w14:textId="77777777" w:rsidTr="00BD3DE0">
        <w:trPr>
          <w:trHeight w:val="190"/>
        </w:trPr>
        <w:tc>
          <w:tcPr>
            <w:tcW w:w="2763" w:type="dxa"/>
            <w:vMerge w:val="restart"/>
            <w:shd w:val="clear" w:color="auto" w:fill="D9D9D9"/>
          </w:tcPr>
          <w:p w14:paraId="23563863"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Opis przedsięwzięcia deweloperskiego lub zadania inwestycyjnego</w:t>
            </w:r>
          </w:p>
        </w:tc>
        <w:tc>
          <w:tcPr>
            <w:tcW w:w="3276" w:type="dxa"/>
            <w:gridSpan w:val="2"/>
          </w:tcPr>
          <w:p w14:paraId="3DBDF4EC" w14:textId="77777777" w:rsidR="006C336E" w:rsidRDefault="006C336E" w:rsidP="00C53FB7">
            <w:pPr>
              <w:pBdr>
                <w:top w:val="nil"/>
                <w:left w:val="nil"/>
                <w:bottom w:val="nil"/>
                <w:right w:val="nil"/>
                <w:between w:val="nil"/>
              </w:pBdr>
              <w:spacing w:before="120" w:after="200" w:line="276" w:lineRule="auto"/>
              <w:jc w:val="left"/>
              <w:rPr>
                <w:rFonts w:ascii="Lato" w:eastAsia="Lato" w:hAnsi="Lato" w:cs="Lato"/>
                <w:color w:val="000000"/>
              </w:rPr>
            </w:pPr>
            <w:r>
              <w:rPr>
                <w:rFonts w:ascii="Lato" w:eastAsia="Lato" w:hAnsi="Lato" w:cs="Lato"/>
                <w:color w:val="000000"/>
              </w:rPr>
              <w:t>liczba budynków</w:t>
            </w:r>
          </w:p>
        </w:tc>
        <w:tc>
          <w:tcPr>
            <w:tcW w:w="4084" w:type="dxa"/>
            <w:gridSpan w:val="4"/>
          </w:tcPr>
          <w:p w14:paraId="3B69DC19" w14:textId="77777777" w:rsidR="006C336E" w:rsidRDefault="006C336E" w:rsidP="00C53FB7">
            <w:pPr>
              <w:pBdr>
                <w:top w:val="nil"/>
                <w:left w:val="nil"/>
                <w:bottom w:val="nil"/>
                <w:right w:val="nil"/>
                <w:between w:val="nil"/>
              </w:pBdr>
              <w:spacing w:before="30" w:after="200" w:line="276" w:lineRule="auto"/>
              <w:jc w:val="left"/>
              <w:rPr>
                <w:rFonts w:ascii="Lato" w:eastAsia="Lato" w:hAnsi="Lato" w:cs="Lato"/>
                <w:b/>
                <w:color w:val="000000"/>
              </w:rPr>
            </w:pPr>
            <w:r>
              <w:t>1</w:t>
            </w:r>
          </w:p>
        </w:tc>
      </w:tr>
      <w:tr w:rsidR="006C336E" w14:paraId="27520471" w14:textId="77777777" w:rsidTr="00BD3DE0">
        <w:trPr>
          <w:trHeight w:val="307"/>
        </w:trPr>
        <w:tc>
          <w:tcPr>
            <w:tcW w:w="2763" w:type="dxa"/>
            <w:vMerge/>
            <w:shd w:val="clear" w:color="auto" w:fill="D9D9D9"/>
          </w:tcPr>
          <w:p w14:paraId="58A75F86"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b/>
                <w:color w:val="000000"/>
              </w:rPr>
            </w:pPr>
          </w:p>
        </w:tc>
        <w:tc>
          <w:tcPr>
            <w:tcW w:w="3276" w:type="dxa"/>
            <w:gridSpan w:val="2"/>
          </w:tcPr>
          <w:p w14:paraId="28088EE4" w14:textId="77777777" w:rsidR="006C336E" w:rsidRDefault="006C336E" w:rsidP="006C336E">
            <w:pPr>
              <w:pBdr>
                <w:top w:val="nil"/>
                <w:left w:val="nil"/>
                <w:bottom w:val="nil"/>
                <w:right w:val="nil"/>
                <w:between w:val="nil"/>
              </w:pBdr>
              <w:spacing w:before="30" w:after="200" w:line="276" w:lineRule="auto"/>
              <w:jc w:val="left"/>
              <w:rPr>
                <w:rFonts w:ascii="Lato" w:eastAsia="Lato" w:hAnsi="Lato" w:cs="Lato"/>
                <w:color w:val="000000"/>
              </w:rPr>
            </w:pPr>
            <w:r>
              <w:rPr>
                <w:rFonts w:ascii="Lato" w:eastAsia="Lato" w:hAnsi="Lato" w:cs="Lato"/>
                <w:color w:val="000000"/>
              </w:rPr>
              <w:t xml:space="preserve">Rozmieszczenie budynków na nieruchomości (należy podać </w:t>
            </w:r>
            <w:r>
              <w:rPr>
                <w:rFonts w:ascii="Lato" w:eastAsia="Lato" w:hAnsi="Lato" w:cs="Lato"/>
                <w:color w:val="000000"/>
              </w:rPr>
              <w:lastRenderedPageBreak/>
              <w:t>minimalny odstęp pomiędzy budynkami)</w:t>
            </w:r>
          </w:p>
        </w:tc>
        <w:tc>
          <w:tcPr>
            <w:tcW w:w="4084" w:type="dxa"/>
            <w:gridSpan w:val="4"/>
          </w:tcPr>
          <w:p w14:paraId="6B5E9A4A" w14:textId="77777777" w:rsidR="006C336E" w:rsidRDefault="006C336E" w:rsidP="00501DEB">
            <w:pPr>
              <w:pBdr>
                <w:top w:val="nil"/>
                <w:left w:val="nil"/>
                <w:bottom w:val="nil"/>
                <w:right w:val="nil"/>
                <w:between w:val="nil"/>
              </w:pBdr>
              <w:spacing w:before="30" w:after="200" w:line="276" w:lineRule="auto"/>
              <w:jc w:val="left"/>
              <w:rPr>
                <w:rFonts w:ascii="Lato" w:eastAsia="Lato" w:hAnsi="Lato" w:cs="Lato"/>
                <w:color w:val="000000"/>
              </w:rPr>
            </w:pPr>
            <w:r w:rsidRPr="00501DEB">
              <w:rPr>
                <w:rFonts w:ascii="Lato" w:eastAsia="Lato" w:hAnsi="Lato" w:cs="Lato"/>
                <w:color w:val="000000"/>
              </w:rPr>
              <w:lastRenderedPageBreak/>
              <w:t>minimaln</w:t>
            </w:r>
            <w:r w:rsidR="006D3D19">
              <w:rPr>
                <w:rFonts w:ascii="Lato" w:eastAsia="Lato" w:hAnsi="Lato" w:cs="Lato"/>
                <w:color w:val="000000"/>
              </w:rPr>
              <w:t>y odstęp między budynkami</w:t>
            </w:r>
            <w:r w:rsidRPr="00501DEB">
              <w:rPr>
                <w:rFonts w:ascii="Lato" w:eastAsia="Lato" w:hAnsi="Lato" w:cs="Lato"/>
                <w:color w:val="000000"/>
              </w:rPr>
              <w:t xml:space="preserve"> 6m</w:t>
            </w:r>
          </w:p>
        </w:tc>
      </w:tr>
      <w:tr w:rsidR="006C336E" w14:paraId="58CD9659" w14:textId="77777777" w:rsidTr="00BD3DE0">
        <w:trPr>
          <w:trHeight w:val="612"/>
        </w:trPr>
        <w:tc>
          <w:tcPr>
            <w:tcW w:w="2763" w:type="dxa"/>
            <w:shd w:val="clear" w:color="auto" w:fill="D9D9D9"/>
          </w:tcPr>
          <w:p w14:paraId="10812AC3" w14:textId="77777777" w:rsidR="006C336E" w:rsidRDefault="006C336E" w:rsidP="006C336E">
            <w:pPr>
              <w:pBdr>
                <w:top w:val="nil"/>
                <w:left w:val="nil"/>
                <w:bottom w:val="nil"/>
                <w:right w:val="nil"/>
                <w:between w:val="nil"/>
              </w:pBdr>
              <w:spacing w:before="40" w:after="200" w:line="276" w:lineRule="auto"/>
              <w:jc w:val="both"/>
              <w:rPr>
                <w:rFonts w:ascii="Lato" w:eastAsia="Lato" w:hAnsi="Lato" w:cs="Lato"/>
                <w:color w:val="000000"/>
              </w:rPr>
            </w:pPr>
            <w:bookmarkStart w:id="2" w:name="_heading=h.2et92p0" w:colFirst="0" w:colLast="0"/>
            <w:bookmarkEnd w:id="2"/>
            <w:r>
              <w:rPr>
                <w:rFonts w:ascii="Lato" w:eastAsia="Lato" w:hAnsi="Lato" w:cs="Lato"/>
                <w:color w:val="000000"/>
              </w:rPr>
              <w:t>Sposób pomiaru powierzchni lokalu mieszkalnego albo domu jednorodzinnego</w:t>
            </w:r>
          </w:p>
        </w:tc>
        <w:tc>
          <w:tcPr>
            <w:tcW w:w="7360" w:type="dxa"/>
            <w:gridSpan w:val="6"/>
          </w:tcPr>
          <w:p w14:paraId="465227CC"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TimesNewRomanPSMT" w:eastAsiaTheme="minorHAnsi" w:hAnsi="TimesNewRomanPSMT" w:cs="TimesNewRomanPSMT"/>
                <w:szCs w:val="24"/>
              </w:rPr>
              <w:t>PN-ISO 9836:1997</w:t>
            </w:r>
          </w:p>
        </w:tc>
      </w:tr>
      <w:tr w:rsidR="006C336E" w14:paraId="1A2534BE" w14:textId="77777777" w:rsidTr="00BD3DE0">
        <w:trPr>
          <w:trHeight w:val="612"/>
        </w:trPr>
        <w:tc>
          <w:tcPr>
            <w:tcW w:w="2763" w:type="dxa"/>
            <w:vMerge w:val="restart"/>
            <w:shd w:val="clear" w:color="auto" w:fill="D9D9D9"/>
          </w:tcPr>
          <w:p w14:paraId="620DBAFB"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Zamierzony sposób i procentowy udział źródeł finansowania przedsięwzięcia deweloperskiego lub zadania inwestycyjnego</w:t>
            </w:r>
          </w:p>
        </w:tc>
        <w:tc>
          <w:tcPr>
            <w:tcW w:w="3551" w:type="dxa"/>
            <w:gridSpan w:val="4"/>
          </w:tcPr>
          <w:p w14:paraId="43CB298B" w14:textId="77777777" w:rsidR="006C336E" w:rsidRPr="00711100" w:rsidRDefault="006C336E" w:rsidP="00C53FB7">
            <w:pPr>
              <w:rPr>
                <w:color w:val="000000"/>
              </w:rPr>
            </w:pPr>
            <w:bookmarkStart w:id="3" w:name="_heading=h.lnxbz9" w:colFirst="0" w:colLast="0"/>
            <w:bookmarkEnd w:id="3"/>
            <w:r>
              <w:rPr>
                <w:color w:val="000000"/>
              </w:rPr>
              <w:t>Rodzaj posiadanych  środków finansowych – kredyt, środki własne, inne</w:t>
            </w:r>
          </w:p>
        </w:tc>
        <w:tc>
          <w:tcPr>
            <w:tcW w:w="3809" w:type="dxa"/>
            <w:gridSpan w:val="2"/>
          </w:tcPr>
          <w:p w14:paraId="178310B9" w14:textId="45C6F36A" w:rsidR="006C336E" w:rsidRDefault="00E94720" w:rsidP="00C53FB7">
            <w:pPr>
              <w:pBdr>
                <w:top w:val="nil"/>
                <w:left w:val="nil"/>
                <w:bottom w:val="nil"/>
                <w:right w:val="nil"/>
                <w:between w:val="nil"/>
              </w:pBdr>
              <w:spacing w:before="30" w:after="200" w:line="276" w:lineRule="auto"/>
              <w:jc w:val="left"/>
              <w:rPr>
                <w:rFonts w:ascii="Lato" w:eastAsia="Lato" w:hAnsi="Lato" w:cs="Lato"/>
                <w:color w:val="000000"/>
              </w:rPr>
            </w:pPr>
            <w:r>
              <w:rPr>
                <w:color w:val="000000"/>
              </w:rPr>
              <w:t>Inwestycja zakończona</w:t>
            </w:r>
          </w:p>
        </w:tc>
      </w:tr>
      <w:tr w:rsidR="006C336E" w14:paraId="7E09700F" w14:textId="77777777" w:rsidTr="00BD3DE0">
        <w:trPr>
          <w:trHeight w:val="612"/>
        </w:trPr>
        <w:tc>
          <w:tcPr>
            <w:tcW w:w="2763" w:type="dxa"/>
            <w:vMerge/>
            <w:shd w:val="clear" w:color="auto" w:fill="D9D9D9"/>
          </w:tcPr>
          <w:p w14:paraId="206524F5"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c>
        <w:tc>
          <w:tcPr>
            <w:tcW w:w="3551" w:type="dxa"/>
            <w:gridSpan w:val="4"/>
          </w:tcPr>
          <w:p w14:paraId="63478CDD" w14:textId="77777777" w:rsidR="006C336E" w:rsidRDefault="006C336E" w:rsidP="00C53FB7">
            <w:pPr>
              <w:pBdr>
                <w:top w:val="nil"/>
                <w:left w:val="nil"/>
                <w:bottom w:val="nil"/>
                <w:right w:val="nil"/>
                <w:between w:val="nil"/>
              </w:pBdr>
              <w:spacing w:before="30"/>
              <w:jc w:val="both"/>
              <w:rPr>
                <w:rFonts w:ascii="Lato" w:eastAsia="Lato" w:hAnsi="Lato" w:cs="Lato"/>
                <w:color w:val="000000"/>
              </w:rPr>
            </w:pPr>
            <w:r>
              <w:rPr>
                <w:rFonts w:ascii="Lato" w:eastAsia="Lato" w:hAnsi="Lato" w:cs="Lato"/>
                <w:color w:val="000000"/>
              </w:rPr>
              <w:t>W następujących instytucjach finansowych (wypełnia się w przypadku kredytu)</w:t>
            </w:r>
          </w:p>
        </w:tc>
        <w:tc>
          <w:tcPr>
            <w:tcW w:w="3809" w:type="dxa"/>
            <w:gridSpan w:val="2"/>
          </w:tcPr>
          <w:p w14:paraId="46BA8EEA" w14:textId="065B82CB" w:rsidR="00A25A11" w:rsidRDefault="00A25A11">
            <w:pPr>
              <w:pBdr>
                <w:top w:val="nil"/>
                <w:left w:val="nil"/>
                <w:bottom w:val="nil"/>
                <w:right w:val="nil"/>
                <w:between w:val="nil"/>
              </w:pBdr>
              <w:jc w:val="both"/>
              <w:rPr>
                <w:rFonts w:ascii="Lato" w:eastAsia="Lato" w:hAnsi="Lato" w:cs="Lato"/>
                <w:color w:val="000000"/>
              </w:rPr>
            </w:pPr>
          </w:p>
        </w:tc>
      </w:tr>
      <w:tr w:rsidR="006C336E" w14:paraId="6B477993" w14:textId="77777777" w:rsidTr="00BD3DE0">
        <w:trPr>
          <w:trHeight w:val="612"/>
        </w:trPr>
        <w:tc>
          <w:tcPr>
            <w:tcW w:w="2763" w:type="dxa"/>
            <w:tcBorders>
              <w:bottom w:val="nil"/>
            </w:tcBorders>
            <w:shd w:val="clear" w:color="auto" w:fill="D9D9D9"/>
          </w:tcPr>
          <w:p w14:paraId="4B1CF379"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Środki ochrony nabywców</w:t>
            </w:r>
          </w:p>
          <w:p w14:paraId="30B544E5"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p>
        </w:tc>
        <w:tc>
          <w:tcPr>
            <w:tcW w:w="3532" w:type="dxa"/>
            <w:gridSpan w:val="3"/>
            <w:tcBorders>
              <w:bottom w:val="single" w:sz="4" w:space="0" w:color="000000"/>
            </w:tcBorders>
          </w:tcPr>
          <w:p w14:paraId="3520DA29" w14:textId="77777777" w:rsidR="006C336E" w:rsidRDefault="006C336E" w:rsidP="00C53FB7">
            <w:pPr>
              <w:rPr>
                <w:rFonts w:ascii="Lato" w:eastAsia="Lato" w:hAnsi="Lato" w:cs="Lato"/>
              </w:rPr>
            </w:pPr>
            <w:r>
              <w:rPr>
                <w:rFonts w:ascii="Lato" w:eastAsia="Lato" w:hAnsi="Lato" w:cs="Lato"/>
              </w:rPr>
              <w:t>Otwarty mieszkaniowy rachunek powierniczy</w:t>
            </w:r>
          </w:p>
          <w:p w14:paraId="485E2FFC" w14:textId="77777777" w:rsidR="006C336E" w:rsidRDefault="006C336E" w:rsidP="00C53FB7">
            <w:pPr>
              <w:rPr>
                <w:rFonts w:ascii="Lato" w:eastAsia="Lato" w:hAnsi="Lato" w:cs="Lato"/>
              </w:rPr>
            </w:pPr>
          </w:p>
        </w:tc>
        <w:tc>
          <w:tcPr>
            <w:tcW w:w="3828" w:type="dxa"/>
            <w:gridSpan w:val="3"/>
            <w:tcBorders>
              <w:bottom w:val="single" w:sz="4" w:space="0" w:color="000000"/>
            </w:tcBorders>
          </w:tcPr>
          <w:p w14:paraId="6063AF43" w14:textId="77777777" w:rsidR="006C336E" w:rsidRDefault="00A547CB" w:rsidP="006C336E">
            <w:pPr>
              <w:pBdr>
                <w:top w:val="nil"/>
                <w:left w:val="nil"/>
                <w:bottom w:val="nil"/>
                <w:right w:val="nil"/>
                <w:between w:val="nil"/>
              </w:pBdr>
              <w:spacing w:before="120" w:after="200" w:line="276" w:lineRule="auto"/>
              <w:rPr>
                <w:rFonts w:ascii="Lato" w:eastAsia="Lato" w:hAnsi="Lato" w:cs="Lato"/>
                <w:strike/>
                <w:color w:val="000000"/>
              </w:rPr>
            </w:pPr>
            <w:r w:rsidRPr="00A547CB">
              <w:rPr>
                <w:rFonts w:ascii="Lato" w:eastAsia="Lato" w:hAnsi="Lato" w:cs="Lato"/>
                <w:strike/>
              </w:rPr>
              <w:t>Zamknięty mieszkaniowy rachunek powierniczy</w:t>
            </w:r>
          </w:p>
        </w:tc>
      </w:tr>
      <w:tr w:rsidR="006C336E" w14:paraId="7407DCFD" w14:textId="77777777" w:rsidTr="00BD3DE0">
        <w:trPr>
          <w:trHeight w:val="501"/>
        </w:trPr>
        <w:tc>
          <w:tcPr>
            <w:tcW w:w="2763" w:type="dxa"/>
            <w:tcBorders>
              <w:top w:val="nil"/>
              <w:bottom w:val="nil"/>
            </w:tcBorders>
            <w:shd w:val="clear" w:color="auto" w:fill="D9D9D9"/>
          </w:tcPr>
          <w:p w14:paraId="300FED3F"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p>
        </w:tc>
        <w:tc>
          <w:tcPr>
            <w:tcW w:w="3551" w:type="dxa"/>
            <w:gridSpan w:val="4"/>
            <w:vMerge w:val="restart"/>
            <w:shd w:val="clear" w:color="auto" w:fill="auto"/>
          </w:tcPr>
          <w:p w14:paraId="6E0D52A4" w14:textId="77777777" w:rsidR="006C336E" w:rsidRPr="006C336E" w:rsidRDefault="00A547CB" w:rsidP="00C53FB7">
            <w:pPr>
              <w:pBdr>
                <w:top w:val="nil"/>
                <w:left w:val="nil"/>
                <w:bottom w:val="nil"/>
                <w:right w:val="nil"/>
                <w:between w:val="nil"/>
              </w:pBdr>
              <w:spacing w:before="30" w:after="200" w:line="276" w:lineRule="auto"/>
              <w:jc w:val="both"/>
              <w:rPr>
                <w:rFonts w:ascii="Lato" w:eastAsia="Lato" w:hAnsi="Lato" w:cs="Lato"/>
                <w:color w:val="000000"/>
                <w:highlight w:val="lightGray"/>
              </w:rPr>
            </w:pPr>
            <w:r w:rsidRPr="00A547CB">
              <w:rPr>
                <w:rFonts w:ascii="Lato" w:eastAsia="Lato" w:hAnsi="Lato" w:cs="Lato"/>
                <w:color w:val="000000"/>
              </w:rPr>
              <w:t>Wysokość stawki procentowej</w:t>
            </w:r>
            <w:r w:rsidR="006C336E">
              <w:rPr>
                <w:rFonts w:ascii="Lato" w:eastAsia="Lato" w:hAnsi="Lato" w:cs="Lato"/>
                <w:color w:val="000000"/>
              </w:rPr>
              <w:t>, według której jest obliczana kwota składki na Deweloperski Fundusz Gwarancyjny</w:t>
            </w:r>
          </w:p>
        </w:tc>
        <w:tc>
          <w:tcPr>
            <w:tcW w:w="3809" w:type="dxa"/>
            <w:gridSpan w:val="2"/>
            <w:vMerge w:val="restart"/>
          </w:tcPr>
          <w:p w14:paraId="102845BB" w14:textId="77777777" w:rsidR="006C336E" w:rsidRPr="006C336E" w:rsidRDefault="00A547CB" w:rsidP="00C53FB7">
            <w:pPr>
              <w:pBdr>
                <w:top w:val="nil"/>
                <w:left w:val="nil"/>
                <w:bottom w:val="nil"/>
                <w:right w:val="nil"/>
                <w:between w:val="nil"/>
              </w:pBdr>
              <w:spacing w:before="30" w:after="200" w:line="276" w:lineRule="auto"/>
              <w:jc w:val="both"/>
              <w:rPr>
                <w:rFonts w:ascii="Lato" w:eastAsia="Lato" w:hAnsi="Lato" w:cs="Lato"/>
                <w:color w:val="000000"/>
                <w:highlight w:val="lightGray"/>
              </w:rPr>
            </w:pPr>
            <w:r w:rsidRPr="00A547CB">
              <w:rPr>
                <w:rFonts w:ascii="Lato" w:eastAsia="Lato" w:hAnsi="Lato" w:cs="Lato"/>
                <w:color w:val="000000"/>
              </w:rPr>
              <w:t>0,45%</w:t>
            </w:r>
          </w:p>
        </w:tc>
      </w:tr>
      <w:tr w:rsidR="006C336E" w14:paraId="1F212496" w14:textId="77777777" w:rsidTr="00BD3DE0">
        <w:trPr>
          <w:trHeight w:val="50"/>
        </w:trPr>
        <w:tc>
          <w:tcPr>
            <w:tcW w:w="2763" w:type="dxa"/>
            <w:tcBorders>
              <w:top w:val="nil"/>
            </w:tcBorders>
            <w:shd w:val="clear" w:color="auto" w:fill="D9D9D9"/>
          </w:tcPr>
          <w:p w14:paraId="6CB5CFBE"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p>
        </w:tc>
        <w:tc>
          <w:tcPr>
            <w:tcW w:w="3551" w:type="dxa"/>
            <w:gridSpan w:val="4"/>
            <w:vMerge/>
            <w:shd w:val="clear" w:color="auto" w:fill="auto"/>
          </w:tcPr>
          <w:p w14:paraId="15EF935A" w14:textId="77777777" w:rsidR="006C336E" w:rsidRDefault="006C336E" w:rsidP="00C53FB7">
            <w:pPr>
              <w:widowControl w:val="0"/>
              <w:pBdr>
                <w:top w:val="nil"/>
                <w:left w:val="nil"/>
                <w:bottom w:val="nil"/>
                <w:right w:val="nil"/>
                <w:between w:val="nil"/>
              </w:pBdr>
              <w:rPr>
                <w:rFonts w:ascii="Lato" w:eastAsia="Lato" w:hAnsi="Lato" w:cs="Lato"/>
                <w:color w:val="000000"/>
              </w:rPr>
            </w:pPr>
          </w:p>
        </w:tc>
        <w:tc>
          <w:tcPr>
            <w:tcW w:w="3809" w:type="dxa"/>
            <w:gridSpan w:val="2"/>
            <w:vMerge/>
          </w:tcPr>
          <w:p w14:paraId="22F4A9C1"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c>
      </w:tr>
      <w:tr w:rsidR="006C336E" w14:paraId="187149D0" w14:textId="77777777" w:rsidTr="00BD3DE0">
        <w:trPr>
          <w:trHeight w:val="612"/>
        </w:trPr>
        <w:tc>
          <w:tcPr>
            <w:tcW w:w="2763" w:type="dxa"/>
            <w:shd w:val="clear" w:color="auto" w:fill="D9D9D9"/>
          </w:tcPr>
          <w:p w14:paraId="55854F4E"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Główne zasady funkcjonowania wybranego rodzaju zabezpieczenia środków nabywcy</w:t>
            </w:r>
          </w:p>
        </w:tc>
        <w:tc>
          <w:tcPr>
            <w:tcW w:w="7360" w:type="dxa"/>
            <w:gridSpan w:val="6"/>
          </w:tcPr>
          <w:p w14:paraId="764041BE" w14:textId="77777777" w:rsidR="00253F21" w:rsidRDefault="00253F21" w:rsidP="00253F21">
            <w:pPr>
              <w:ind w:left="100" w:right="100"/>
              <w:rPr>
                <w:rFonts w:eastAsia="Calibri"/>
                <w:sz w:val="20"/>
                <w:szCs w:val="20"/>
              </w:rPr>
            </w:pPr>
          </w:p>
          <w:p w14:paraId="1A271122" w14:textId="77777777" w:rsidR="0018064F" w:rsidRDefault="006C336E" w:rsidP="0018064F">
            <w:pPr>
              <w:pBdr>
                <w:top w:val="nil"/>
                <w:left w:val="nil"/>
                <w:bottom w:val="nil"/>
                <w:right w:val="nil"/>
                <w:between w:val="nil"/>
              </w:pBdr>
              <w:spacing w:before="30" w:after="200" w:line="276" w:lineRule="auto"/>
              <w:jc w:val="both"/>
              <w:rPr>
                <w:rFonts w:ascii="Palatino Linotype" w:hAnsi="Palatino Linotype"/>
                <w:sz w:val="18"/>
                <w:szCs w:val="18"/>
              </w:rPr>
            </w:pPr>
            <w:r>
              <w:rPr>
                <w:rFonts w:ascii="Palatino Linotype" w:eastAsia="Calibri" w:hAnsi="Palatino Linotype"/>
                <w:b/>
                <w:sz w:val="18"/>
                <w:szCs w:val="18"/>
                <w:lang w:eastAsia="en-US"/>
              </w:rPr>
              <w:t xml:space="preserve">Otwarty rachunek powierniczy w SGB-Bank S.A.. </w:t>
            </w:r>
            <w:r>
              <w:rPr>
                <w:rFonts w:ascii="Palatino Linotype" w:hAnsi="Palatino Linotype"/>
                <w:sz w:val="18"/>
                <w:szCs w:val="18"/>
              </w:rPr>
              <w:t xml:space="preserve">Stronami umowy rachunku powierniczego są bank i posiadacz rachunku środków nabywcy (deweloper). </w:t>
            </w:r>
          </w:p>
          <w:p w14:paraId="67C9099C" w14:textId="77777777" w:rsidR="0018064F" w:rsidRPr="0018064F" w:rsidRDefault="00A547CB" w:rsidP="0018064F">
            <w:pPr>
              <w:tabs>
                <w:tab w:val="right" w:leader="hyphen" w:pos="9080"/>
              </w:tabs>
              <w:spacing w:after="200" w:line="276" w:lineRule="auto"/>
              <w:jc w:val="both"/>
              <w:rPr>
                <w:rFonts w:ascii="Lato" w:hAnsi="Lato"/>
                <w:b/>
                <w:bCs/>
              </w:rPr>
            </w:pPr>
            <w:r w:rsidRPr="00A547CB">
              <w:rPr>
                <w:rFonts w:ascii="Lato" w:eastAsia="MS Mincho" w:hAnsi="Lato"/>
              </w:rPr>
              <w:t>K</w:t>
            </w:r>
            <w:r w:rsidRPr="00A547CB">
              <w:rPr>
                <w:rFonts w:ascii="Lato" w:hAnsi="Lato"/>
              </w:rPr>
              <w:t>oszty, opłaty i prowizje za prowadzenie mieszkaniowego rachunku powierniczego, obciążają Dewelopera.</w:t>
            </w:r>
            <w:r w:rsidR="0018064F">
              <w:rPr>
                <w:rFonts w:ascii="Lato" w:hAnsi="Lato"/>
              </w:rPr>
              <w:t xml:space="preserve"> </w:t>
            </w:r>
            <w:r w:rsidRPr="00A547CB">
              <w:rPr>
                <w:rFonts w:ascii="Lato" w:hAnsi="Lato"/>
                <w:color w:val="333333"/>
                <w:shd w:val="clear" w:color="auto" w:fill="FFFFFF"/>
              </w:rPr>
              <w:t>Środki pieniężne wpłacone przez Nabywcę na mieszkaniowy rachunek powierniczy nie mogą być pomniejszone o koszty, opłaty i prowizje, o których mowa w zdaniu poprzednim.</w:t>
            </w:r>
            <w:r w:rsidRPr="00A547CB">
              <w:rPr>
                <w:rFonts w:ascii="Lato" w:hAnsi="Lato"/>
                <w:bCs/>
              </w:rPr>
              <w:tab/>
            </w:r>
          </w:p>
          <w:p w14:paraId="268291B8" w14:textId="77777777" w:rsidR="0018064F" w:rsidRPr="0018064F" w:rsidRDefault="00A547CB" w:rsidP="0018064F">
            <w:pPr>
              <w:tabs>
                <w:tab w:val="right" w:leader="hyphen" w:pos="9080"/>
              </w:tabs>
              <w:spacing w:after="200" w:line="276" w:lineRule="auto"/>
              <w:jc w:val="both"/>
              <w:rPr>
                <w:rFonts w:ascii="Lato" w:hAnsi="Lato"/>
              </w:rPr>
            </w:pPr>
            <w:r w:rsidRPr="00A547CB">
              <w:rPr>
                <w:rFonts w:ascii="Lato" w:hAnsi="Lato"/>
              </w:rPr>
              <w:t>Nabywca dokonuje wpłat na mieszkaniowy rachunek powierniczy zgodnie z postępem realizacji Przedsięwzięcia deweloperskiego.</w:t>
            </w:r>
            <w:r w:rsidRPr="00A547CB">
              <w:rPr>
                <w:rFonts w:ascii="Lato" w:hAnsi="Lato"/>
              </w:rPr>
              <w:tab/>
            </w:r>
          </w:p>
          <w:p w14:paraId="7A1D16D5" w14:textId="77777777" w:rsidR="0018064F" w:rsidRPr="0018064F" w:rsidRDefault="00A547CB" w:rsidP="0018064F">
            <w:pPr>
              <w:tabs>
                <w:tab w:val="right" w:leader="hyphen" w:pos="9080"/>
              </w:tabs>
              <w:spacing w:before="26" w:after="200" w:line="276" w:lineRule="auto"/>
              <w:jc w:val="both"/>
              <w:rPr>
                <w:rFonts w:ascii="Lato" w:hAnsi="Lato"/>
              </w:rPr>
            </w:pPr>
            <w:r w:rsidRPr="00A547CB">
              <w:rPr>
                <w:rFonts w:ascii="Lato" w:hAnsi="Lato"/>
              </w:rPr>
              <w:t xml:space="preserve">Wysokość wpłat dokonywanych przez Nabywcę jest uzależniona od faktycznego stopnia realizacji poszczególnych etapów Przedsięwzięcia deweloperskiego, określonych w jego </w:t>
            </w:r>
            <w:r w:rsidRPr="00A547CB">
              <w:rPr>
                <w:rFonts w:ascii="Lato" w:hAnsi="Lato"/>
                <w:b/>
                <w:bCs/>
              </w:rPr>
              <w:t>Harmonogramie</w:t>
            </w:r>
            <w:r w:rsidRPr="00A547CB">
              <w:rPr>
                <w:rFonts w:ascii="Lato" w:hAnsi="Lato"/>
              </w:rPr>
              <w:t xml:space="preserve"> Przedsięwzięcia deweloperskiego.</w:t>
            </w:r>
            <w:r w:rsidRPr="00A547CB">
              <w:rPr>
                <w:rFonts w:ascii="Lato" w:hAnsi="Lato"/>
              </w:rPr>
              <w:tab/>
            </w:r>
          </w:p>
          <w:p w14:paraId="4901E529" w14:textId="77777777" w:rsidR="0018064F" w:rsidRPr="0018064F" w:rsidRDefault="00A547CB" w:rsidP="0018064F">
            <w:pPr>
              <w:tabs>
                <w:tab w:val="right" w:leader="hyphen" w:pos="9080"/>
              </w:tabs>
              <w:spacing w:before="26" w:after="200" w:line="276" w:lineRule="auto"/>
              <w:jc w:val="both"/>
              <w:rPr>
                <w:rFonts w:ascii="Lato" w:hAnsi="Lato"/>
              </w:rPr>
            </w:pPr>
            <w:r w:rsidRPr="00A547CB">
              <w:rPr>
                <w:rFonts w:ascii="Lato" w:hAnsi="Lato"/>
              </w:rPr>
              <w:t>Nabywca dokonuje wpłat na mieszkaniowy rachunek powierniczy po zakończeniu danego etapu Przedsięwzięcia deweloperskiego, określonego w jego harmonogramie. Deweloper informuje Nabywcę na papierze lub innym trwałym nośniku o zakończeniu danego etapu Przedsięwzięcia deweloperskiego.</w:t>
            </w:r>
            <w:r w:rsidRPr="00A547CB">
              <w:rPr>
                <w:rFonts w:ascii="Lato" w:hAnsi="Lato"/>
              </w:rPr>
              <w:tab/>
            </w:r>
          </w:p>
          <w:p w14:paraId="68C1326E" w14:textId="77777777" w:rsidR="0018064F" w:rsidRPr="0018064F" w:rsidRDefault="00A547CB" w:rsidP="0018064F">
            <w:pPr>
              <w:tabs>
                <w:tab w:val="right" w:leader="hyphen" w:pos="9080"/>
              </w:tabs>
              <w:spacing w:after="200" w:line="276" w:lineRule="auto"/>
              <w:jc w:val="both"/>
              <w:rPr>
                <w:rFonts w:ascii="Lato" w:hAnsi="Lato"/>
                <w:color w:val="333333"/>
                <w:shd w:val="clear" w:color="auto" w:fill="FFFFFF"/>
              </w:rPr>
            </w:pPr>
            <w:r w:rsidRPr="00A547CB">
              <w:rPr>
                <w:rFonts w:ascii="Lato" w:hAnsi="Lato"/>
                <w:color w:val="333333"/>
                <w:shd w:val="clear" w:color="auto" w:fill="FFFFFF"/>
              </w:rPr>
              <w:t xml:space="preserve">Bank prowadzący otwarty mieszkaniowy rachunek powierniczy ewidencjonuje wpłaty i wypłaty odrębnie dla każdego nabywcy, a na </w:t>
            </w:r>
            <w:r w:rsidRPr="00A547CB">
              <w:rPr>
                <w:rFonts w:ascii="Lato" w:hAnsi="Lato"/>
                <w:color w:val="333333"/>
                <w:shd w:val="clear" w:color="auto" w:fill="FFFFFF"/>
              </w:rPr>
              <w:lastRenderedPageBreak/>
              <w:t>żądanie nabywcy podaje szczegółowe informacje dotyczące wpłat i wypłat dokonanych w wykonaniu umowy, której stroną jest nabywca występujący z żądaniem udzielenia informacji, takie jak data oraz kwoty wpłat i wypłat.</w:t>
            </w:r>
            <w:r w:rsidRPr="00A547CB">
              <w:rPr>
                <w:rFonts w:ascii="Lato" w:hAnsi="Lato"/>
                <w:color w:val="333333"/>
                <w:shd w:val="clear" w:color="auto" w:fill="FFFFFF"/>
              </w:rPr>
              <w:tab/>
            </w:r>
          </w:p>
          <w:p w14:paraId="56B88C50" w14:textId="77777777" w:rsidR="0018064F" w:rsidRPr="0018064F" w:rsidRDefault="00A547CB" w:rsidP="0018064F">
            <w:pPr>
              <w:tabs>
                <w:tab w:val="right" w:leader="hyphen" w:pos="9080"/>
              </w:tabs>
              <w:spacing w:after="200" w:line="276" w:lineRule="auto"/>
              <w:jc w:val="both"/>
              <w:rPr>
                <w:rFonts w:ascii="Lato" w:hAnsi="Lato"/>
                <w:color w:val="333333"/>
                <w:shd w:val="clear" w:color="auto" w:fill="FFFFFF"/>
              </w:rPr>
            </w:pPr>
            <w:r w:rsidRPr="00A547CB">
              <w:rPr>
                <w:rFonts w:ascii="Lato" w:hAnsi="Lato"/>
                <w:color w:val="333333"/>
                <w:shd w:val="clear" w:color="auto" w:fill="FFFFFF"/>
              </w:rPr>
              <w:t>Prawo wypowiedzenia umowy mieszkaniowego rachunku powierniczego przysługuje wyłącznie bankowi i tylko z ważnych powodów.</w:t>
            </w:r>
            <w:r w:rsidRPr="00A547CB">
              <w:rPr>
                <w:rFonts w:ascii="Lato" w:hAnsi="Lato"/>
                <w:color w:val="333333"/>
                <w:shd w:val="clear" w:color="auto" w:fill="FFFFFF"/>
              </w:rPr>
              <w:tab/>
            </w:r>
          </w:p>
          <w:p w14:paraId="00EBB78D" w14:textId="77777777" w:rsidR="0018064F" w:rsidRPr="0018064F" w:rsidRDefault="00A547CB" w:rsidP="0018064F">
            <w:pPr>
              <w:tabs>
                <w:tab w:val="right" w:leader="hyphen" w:pos="9080"/>
              </w:tabs>
              <w:spacing w:after="200" w:line="276" w:lineRule="auto"/>
              <w:jc w:val="both"/>
              <w:rPr>
                <w:rFonts w:ascii="Lato" w:hAnsi="Lato"/>
                <w:b/>
                <w:bCs/>
              </w:rPr>
            </w:pPr>
            <w:r w:rsidRPr="00A547CB">
              <w:rPr>
                <w:rFonts w:ascii="Lato" w:hAnsi="Lato"/>
                <w:color w:val="333333"/>
                <w:shd w:val="clear" w:color="auto" w:fill="FFFFFF"/>
              </w:rPr>
              <w:t>Deweloper dysponuje środkami wypłacanymi z otwartego mieszkaniowego rachunku powierniczego w celu finansowania lub refinansowania przedsięwzięcia deweloperskiego lub zadania inwestycyjnego, dla którego jest prowadzony ten rachunek.</w:t>
            </w:r>
            <w:r w:rsidRPr="00A547CB">
              <w:rPr>
                <w:rFonts w:ascii="Lato" w:hAnsi="Lato"/>
                <w:color w:val="333333"/>
                <w:shd w:val="clear" w:color="auto" w:fill="FFFFFF"/>
              </w:rPr>
              <w:tab/>
            </w:r>
          </w:p>
          <w:p w14:paraId="6DED5192" w14:textId="77777777" w:rsidR="0018064F" w:rsidRPr="0018064F" w:rsidRDefault="00A547CB" w:rsidP="0018064F">
            <w:pPr>
              <w:widowControl w:val="0"/>
              <w:tabs>
                <w:tab w:val="right" w:leader="hyphen" w:pos="9080"/>
              </w:tabs>
              <w:autoSpaceDN w:val="0"/>
              <w:adjustRightInd w:val="0"/>
              <w:spacing w:after="200" w:line="276" w:lineRule="auto"/>
              <w:jc w:val="both"/>
              <w:rPr>
                <w:rFonts w:ascii="Lato" w:hAnsi="Lato"/>
                <w:color w:val="333333"/>
                <w:shd w:val="clear" w:color="auto" w:fill="FFFFFF"/>
              </w:rPr>
            </w:pPr>
            <w:r w:rsidRPr="00A547CB">
              <w:rPr>
                <w:rFonts w:ascii="Lato" w:hAnsi="Lato"/>
                <w:color w:val="333333"/>
              </w:rPr>
              <w:t xml:space="preserve">Bank wypłaca Deweloperowi środki pieniężne wpłacone przez Nabywcę na otwarty mieszkaniowy rachunek powierniczy, nie wcześniej niż po 30 dniach od dnia zawarcia umowy deweloperskiej i po stwierdzeniu zakończenia danego etapu realizacji Przedsięwzięcia deweloperskiego, w wysokości kwoty </w:t>
            </w:r>
            <w:r w:rsidRPr="00A547CB">
              <w:rPr>
                <w:rFonts w:ascii="Lato" w:hAnsi="Lato"/>
                <w:color w:val="333333"/>
                <w:shd w:val="clear" w:color="auto" w:fill="FFFFFF"/>
              </w:rPr>
              <w:t>stanowiącej iloczyn procentu kosztów danego etapu określonego w harmonogramie Przedsięwzięcia deweloperskiego oraz ceny Lokalu.</w:t>
            </w:r>
            <w:r w:rsidRPr="00A547CB">
              <w:rPr>
                <w:rFonts w:ascii="Lato" w:hAnsi="Lato"/>
                <w:color w:val="333333"/>
                <w:shd w:val="clear" w:color="auto" w:fill="FFFFFF"/>
              </w:rPr>
              <w:tab/>
            </w:r>
          </w:p>
          <w:p w14:paraId="445F3478" w14:textId="77777777" w:rsidR="0018064F" w:rsidRPr="0018064F" w:rsidRDefault="00A547CB" w:rsidP="0018064F">
            <w:pPr>
              <w:widowControl w:val="0"/>
              <w:tabs>
                <w:tab w:val="right" w:leader="hyphen" w:pos="9080"/>
              </w:tabs>
              <w:autoSpaceDN w:val="0"/>
              <w:adjustRightInd w:val="0"/>
              <w:spacing w:after="200" w:line="276" w:lineRule="auto"/>
              <w:jc w:val="both"/>
              <w:rPr>
                <w:rFonts w:ascii="Lato" w:hAnsi="Lato"/>
                <w:color w:val="333333"/>
                <w:shd w:val="clear" w:color="auto" w:fill="FFFFFF"/>
              </w:rPr>
            </w:pPr>
            <w:r w:rsidRPr="00A547CB">
              <w:rPr>
                <w:rFonts w:ascii="Lato" w:hAnsi="Lato"/>
                <w:color w:val="333333"/>
                <w:shd w:val="clear" w:color="auto" w:fill="FFFFFF"/>
              </w:rPr>
              <w:t>Bank dokonuje kontroli zakończenia każdego z etapów Przedsięwzięcia deweloperskiego przed wypłatą środków pieniężnych otwartego mieszkaniowego rachunku powierniczego. Koszty kontroli ponosi Deweloper.</w:t>
            </w:r>
            <w:r w:rsidRPr="00A547CB">
              <w:rPr>
                <w:rFonts w:ascii="Lato" w:hAnsi="Lato"/>
                <w:color w:val="333333"/>
                <w:shd w:val="clear" w:color="auto" w:fill="FFFFFF"/>
              </w:rPr>
              <w:tab/>
            </w:r>
          </w:p>
          <w:p w14:paraId="136CAA4D" w14:textId="77777777" w:rsidR="0018064F" w:rsidRPr="0018064F" w:rsidRDefault="00A547CB" w:rsidP="0018064F">
            <w:pPr>
              <w:widowControl w:val="0"/>
              <w:tabs>
                <w:tab w:val="right" w:leader="hyphen" w:pos="9080"/>
              </w:tabs>
              <w:autoSpaceDN w:val="0"/>
              <w:adjustRightInd w:val="0"/>
              <w:spacing w:after="200" w:line="276" w:lineRule="auto"/>
              <w:jc w:val="both"/>
              <w:rPr>
                <w:rFonts w:ascii="Lato" w:hAnsi="Lato"/>
                <w:color w:val="333333"/>
                <w:shd w:val="clear" w:color="auto" w:fill="FFFFFF"/>
              </w:rPr>
            </w:pPr>
            <w:r w:rsidRPr="00A547CB">
              <w:rPr>
                <w:rFonts w:ascii="Lato" w:hAnsi="Lato"/>
                <w:color w:val="333333"/>
                <w:shd w:val="clear" w:color="auto" w:fill="FFFFFF"/>
              </w:rPr>
              <w:t>W przypadku zakończenia ostatniego etapu Przedsięwzięcia deweloperskiego określonego w jego harmonogramie, bank wypłaca Deweloperowi pozostałe na otwartym mieszkaniowym rachunku powierniczym środki pieniężne wpłacone przez Nabywcę na poczet realizacji ostatniego etapu prac po otrzymaniu wypisu aktu notarialnego umowy przenoszącej na nabywcę prawa wynikające z umowy deweloperskiej, w stanie wolnym od obciążeń, praw i roszczeń osób trzecich, z wyjątkiem obciążeń, na które wyraził zgodę Nabywca.</w:t>
            </w:r>
            <w:r w:rsidRPr="00A547CB">
              <w:rPr>
                <w:rFonts w:ascii="Lato" w:hAnsi="Lato"/>
                <w:color w:val="333333"/>
                <w:shd w:val="clear" w:color="auto" w:fill="FFFFFF"/>
              </w:rPr>
              <w:tab/>
            </w:r>
          </w:p>
          <w:p w14:paraId="4ACE031F" w14:textId="77777777" w:rsidR="0018064F" w:rsidRPr="0018064F" w:rsidRDefault="00A547CB" w:rsidP="0018064F">
            <w:pPr>
              <w:tabs>
                <w:tab w:val="right" w:leader="hyphen" w:pos="9080"/>
              </w:tabs>
              <w:spacing w:after="200" w:line="276" w:lineRule="auto"/>
              <w:jc w:val="both"/>
              <w:rPr>
                <w:rFonts w:ascii="Lato" w:hAnsi="Lato"/>
                <w:color w:val="333333"/>
                <w:shd w:val="clear" w:color="auto" w:fill="FFFFFF"/>
              </w:rPr>
            </w:pPr>
            <w:r w:rsidRPr="00A547CB">
              <w:rPr>
                <w:rFonts w:ascii="Lato" w:hAnsi="Lato"/>
                <w:color w:val="333333"/>
                <w:shd w:val="clear" w:color="auto" w:fill="FFFFFF"/>
              </w:rPr>
              <w:t xml:space="preserve">W przypadku odstąpienia na podstawie art. 43 </w:t>
            </w:r>
            <w:r w:rsidR="0018064F">
              <w:rPr>
                <w:rFonts w:ascii="Lato" w:hAnsi="Lato"/>
                <w:color w:val="333333"/>
                <w:shd w:val="clear" w:color="auto" w:fill="FFFFFF"/>
              </w:rPr>
              <w:t>ustawy z dnia 20 maja 2021 r. o ochronie praw nabywcy lokalu mieszkalnego lub domu jednorodzinnego oraz Deweloperskim Funduszu Gwarancyjnym („Nowa ustawa deweloperska”)</w:t>
            </w:r>
            <w:r w:rsidRPr="00A547CB">
              <w:rPr>
                <w:rFonts w:ascii="Lato" w:hAnsi="Lato"/>
                <w:color w:val="333333"/>
                <w:shd w:val="clear" w:color="auto" w:fill="FFFFFF"/>
              </w:rPr>
              <w:t xml:space="preserve"> od umowy deweloperskiej przez jedną ze stron, bank wypłaca Nabywcy przypadające mu środki pieniężne pozostałe na mieszkaniowym rachunku powierniczym w nominalnej wysokości niezwłocznie po otrzymaniu oświadczenia o odstąpieniu od umowy deweloperskiej</w:t>
            </w:r>
            <w:r w:rsidR="0018064F">
              <w:rPr>
                <w:rFonts w:ascii="Lato" w:hAnsi="Lato"/>
                <w:color w:val="333333"/>
                <w:shd w:val="clear" w:color="auto" w:fill="FFFFFF"/>
              </w:rPr>
              <w:t xml:space="preserve"> </w:t>
            </w:r>
            <w:r w:rsidR="0018064F" w:rsidRPr="00D343FD">
              <w:rPr>
                <w:rFonts w:ascii="Lato" w:hAnsi="Lato"/>
                <w:color w:val="333333"/>
                <w:shd w:val="clear" w:color="auto" w:fill="FFFFFF"/>
              </w:rPr>
              <w:t>oraz dokumentów określonych w umowie o prowadzenie mieszkaniowego rachunku powierniczego</w:t>
            </w:r>
            <w:r w:rsidRPr="00A547CB">
              <w:rPr>
                <w:rFonts w:ascii="Lato" w:hAnsi="Lato"/>
                <w:color w:val="333333"/>
                <w:shd w:val="clear" w:color="auto" w:fill="FFFFFF"/>
              </w:rPr>
              <w:t>.</w:t>
            </w:r>
            <w:r w:rsidRPr="00A547CB">
              <w:rPr>
                <w:rFonts w:ascii="Lato" w:hAnsi="Lato"/>
                <w:color w:val="333333"/>
                <w:shd w:val="clear" w:color="auto" w:fill="FFFFFF"/>
              </w:rPr>
              <w:tab/>
            </w:r>
          </w:p>
          <w:p w14:paraId="5C5A8A1C" w14:textId="77777777" w:rsidR="006C336E" w:rsidRDefault="00A547CB" w:rsidP="0018064F">
            <w:pPr>
              <w:pBdr>
                <w:top w:val="nil"/>
                <w:left w:val="nil"/>
                <w:bottom w:val="nil"/>
                <w:right w:val="nil"/>
                <w:between w:val="nil"/>
              </w:pBdr>
              <w:spacing w:before="30" w:after="200" w:line="276" w:lineRule="auto"/>
              <w:jc w:val="both"/>
              <w:rPr>
                <w:rFonts w:ascii="Lato" w:eastAsia="Lato" w:hAnsi="Lato" w:cs="Lato"/>
                <w:color w:val="000000"/>
                <w:highlight w:val="lightGray"/>
              </w:rPr>
            </w:pPr>
            <w:r w:rsidRPr="00A547CB">
              <w:rPr>
                <w:rFonts w:ascii="Lato" w:hAnsi="Lato"/>
                <w:color w:val="333333"/>
                <w:shd w:val="clear" w:color="auto" w:fill="FFFFFF"/>
              </w:rPr>
              <w:t xml:space="preserve">W przypadku rozwiązania umowy deweloperskiej innego niż na podstawie art. 43 Nowej ustawy deweloperskiej, strony przedstawią zgodne oświadczenia woli o sposobie podziału środków pieniężnych zgromadzonych przez Nabywcę na mieszkaniowym rachunku powierniczym. Bank wypłaca środki zgromadzone na mieszkaniowym rachunku powierniczym w nominalnej wysokości niezwłocznie po </w:t>
            </w:r>
            <w:r w:rsidRPr="00A547CB">
              <w:rPr>
                <w:rFonts w:ascii="Lato" w:hAnsi="Lato"/>
                <w:color w:val="333333"/>
                <w:shd w:val="clear" w:color="auto" w:fill="FFFFFF"/>
              </w:rPr>
              <w:lastRenderedPageBreak/>
              <w:t>otrzymaniu oświadczeń oraz dokumentów określonych w umowie o prowadzenie mieszkaniowego rachunku powierniczego.</w:t>
            </w:r>
          </w:p>
        </w:tc>
      </w:tr>
      <w:tr w:rsidR="006C336E" w14:paraId="1466B4E3" w14:textId="77777777" w:rsidTr="00BD3DE0">
        <w:trPr>
          <w:trHeight w:val="612"/>
        </w:trPr>
        <w:tc>
          <w:tcPr>
            <w:tcW w:w="2763" w:type="dxa"/>
            <w:shd w:val="clear" w:color="auto" w:fill="D9D9D9"/>
          </w:tcPr>
          <w:p w14:paraId="4D296AC8"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Pr>
                <w:rFonts w:ascii="Lato" w:eastAsia="Lato" w:hAnsi="Lato" w:cs="Lato"/>
                <w:color w:val="000000"/>
              </w:rPr>
              <w:lastRenderedPageBreak/>
              <w:t>Nazwa instytucji zapewniającej bezpieczeństwo środków nabywcy</w:t>
            </w:r>
          </w:p>
        </w:tc>
        <w:tc>
          <w:tcPr>
            <w:tcW w:w="7360" w:type="dxa"/>
            <w:gridSpan w:val="6"/>
          </w:tcPr>
          <w:p w14:paraId="48F259AA"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SGB</w:t>
            </w:r>
            <w:r w:rsidR="00253F21">
              <w:rPr>
                <w:rFonts w:ascii="Lato" w:eastAsia="Lato" w:hAnsi="Lato" w:cs="Lato"/>
                <w:color w:val="000000"/>
              </w:rPr>
              <w:t>-</w:t>
            </w:r>
            <w:r>
              <w:rPr>
                <w:rFonts w:ascii="Lato" w:eastAsia="Lato" w:hAnsi="Lato" w:cs="Lato"/>
                <w:color w:val="000000"/>
              </w:rPr>
              <w:t>Bank</w:t>
            </w:r>
            <w:r w:rsidR="00253F21">
              <w:rPr>
                <w:rFonts w:ascii="Lato" w:eastAsia="Lato" w:hAnsi="Lato" w:cs="Lato"/>
                <w:color w:val="000000"/>
              </w:rPr>
              <w:t xml:space="preserve"> S.A.</w:t>
            </w:r>
          </w:p>
        </w:tc>
      </w:tr>
      <w:tr w:rsidR="006C336E" w14:paraId="4036D033" w14:textId="77777777" w:rsidTr="00BD3DE0">
        <w:trPr>
          <w:trHeight w:val="612"/>
        </w:trPr>
        <w:tc>
          <w:tcPr>
            <w:tcW w:w="2763" w:type="dxa"/>
            <w:shd w:val="clear" w:color="auto" w:fill="D9D9D9"/>
          </w:tcPr>
          <w:p w14:paraId="13EB7D9E" w14:textId="77777777" w:rsidR="006C336E" w:rsidRDefault="006C336E" w:rsidP="00E03319">
            <w:pPr>
              <w:pBdr>
                <w:top w:val="nil"/>
                <w:left w:val="nil"/>
                <w:bottom w:val="nil"/>
                <w:right w:val="nil"/>
                <w:between w:val="nil"/>
              </w:pBdr>
              <w:spacing w:before="40" w:line="276" w:lineRule="auto"/>
              <w:jc w:val="left"/>
              <w:rPr>
                <w:rFonts w:ascii="Lato" w:eastAsia="Lato" w:hAnsi="Lato" w:cs="Lato"/>
                <w:color w:val="000000"/>
              </w:rPr>
            </w:pPr>
            <w:bookmarkStart w:id="4" w:name="_heading=h.35nkun2" w:colFirst="0" w:colLast="0"/>
            <w:bookmarkEnd w:id="4"/>
            <w:r>
              <w:rPr>
                <w:rFonts w:ascii="Lato" w:eastAsia="Lato" w:hAnsi="Lato" w:cs="Lato"/>
                <w:color w:val="000000"/>
              </w:rPr>
              <w:t>Harmonogram przedsięwzięcia deweloperskiego</w:t>
            </w:r>
            <w:r w:rsidR="00253F21">
              <w:rPr>
                <w:rFonts w:ascii="Lato" w:eastAsia="Lato" w:hAnsi="Lato" w:cs="Lato"/>
                <w:color w:val="000000"/>
              </w:rPr>
              <w:t xml:space="preserve"> lub zadania inwestycyjnego</w:t>
            </w:r>
          </w:p>
          <w:p w14:paraId="4336320B" w14:textId="5C7489E1" w:rsidR="00303A41" w:rsidRDefault="00303A41" w:rsidP="00E03319">
            <w:pPr>
              <w:pBdr>
                <w:top w:val="nil"/>
                <w:left w:val="nil"/>
                <w:bottom w:val="nil"/>
                <w:right w:val="nil"/>
                <w:between w:val="nil"/>
              </w:pBdr>
              <w:spacing w:before="40" w:line="276" w:lineRule="auto"/>
              <w:jc w:val="left"/>
              <w:rPr>
                <w:rFonts w:ascii="Lato" w:eastAsia="Lato" w:hAnsi="Lato" w:cs="Lato"/>
                <w:color w:val="000000"/>
              </w:rPr>
            </w:pPr>
            <w:r w:rsidRPr="000A2679">
              <w:rPr>
                <w:rFonts w:ascii="Lato" w:eastAsia="Lato" w:hAnsi="Lato" w:cs="Lato"/>
                <w:color w:val="000000"/>
                <w:sz w:val="18"/>
              </w:rPr>
              <w:t>(Aktualizacja 29.03.2024 r.)</w:t>
            </w:r>
          </w:p>
        </w:tc>
        <w:tc>
          <w:tcPr>
            <w:tcW w:w="7360" w:type="dxa"/>
            <w:gridSpan w:val="6"/>
            <w:tcMar>
              <w:left w:w="0" w:type="dxa"/>
              <w:right w:w="0" w:type="dxa"/>
            </w:tcMar>
          </w:tcPr>
          <w:p w14:paraId="112AB813"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bl>
            <w:tblPr>
              <w:tblStyle w:val="a2"/>
              <w:tblW w:w="7234" w:type="dxa"/>
              <w:tblInd w:w="0" w:type="dxa"/>
              <w:tblLayout w:type="fixed"/>
              <w:tblLook w:val="0400" w:firstRow="0" w:lastRow="0" w:firstColumn="0" w:lastColumn="0" w:noHBand="0" w:noVBand="1"/>
            </w:tblPr>
            <w:tblGrid>
              <w:gridCol w:w="3047"/>
              <w:gridCol w:w="1275"/>
              <w:gridCol w:w="1352"/>
              <w:gridCol w:w="1560"/>
            </w:tblGrid>
            <w:tr w:rsidR="006C336E" w14:paraId="6F9DE884" w14:textId="77777777" w:rsidTr="00D2290D">
              <w:trPr>
                <w:trHeight w:val="30"/>
              </w:trPr>
              <w:tc>
                <w:tcPr>
                  <w:tcW w:w="3047"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2EE46FD8" w14:textId="77777777" w:rsidR="006C336E" w:rsidRDefault="006C336E" w:rsidP="00C53FB7">
                  <w:pPr>
                    <w:rPr>
                      <w:rFonts w:ascii="Lato" w:eastAsia="Lato" w:hAnsi="Lato" w:cs="Lato"/>
                    </w:rPr>
                  </w:pPr>
                  <w:r>
                    <w:rPr>
                      <w:rFonts w:ascii="Lato" w:eastAsia="Lato" w:hAnsi="Lato" w:cs="Lato"/>
                      <w:color w:val="000000"/>
                    </w:rPr>
                    <w:t>Etapy realizacji inwestycji</w:t>
                  </w:r>
                </w:p>
              </w:tc>
              <w:tc>
                <w:tcPr>
                  <w:tcW w:w="1275" w:type="dxa"/>
                  <w:vMerge w:val="restart"/>
                  <w:tcBorders>
                    <w:top w:val="single" w:sz="12"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0CA37B20" w14:textId="77777777" w:rsidR="006C336E" w:rsidRDefault="006C336E" w:rsidP="00C53FB7">
                  <w:pPr>
                    <w:jc w:val="center"/>
                    <w:rPr>
                      <w:rFonts w:ascii="Lato" w:eastAsia="Lato" w:hAnsi="Lato" w:cs="Lato"/>
                    </w:rPr>
                  </w:pPr>
                  <w:r>
                    <w:rPr>
                      <w:rFonts w:ascii="Lato" w:eastAsia="Lato" w:hAnsi="Lato" w:cs="Lato"/>
                      <w:color w:val="000000"/>
                    </w:rPr>
                    <w:t>Procentowy szacunkowy podział kosztów [%]</w:t>
                  </w:r>
                </w:p>
              </w:tc>
              <w:tc>
                <w:tcPr>
                  <w:tcW w:w="2912" w:type="dxa"/>
                  <w:gridSpan w:val="2"/>
                  <w:tcBorders>
                    <w:top w:val="single" w:sz="12" w:space="0" w:color="000000"/>
                    <w:left w:val="nil"/>
                    <w:bottom w:val="single" w:sz="8" w:space="0" w:color="000000"/>
                    <w:right w:val="single" w:sz="12" w:space="0" w:color="000000"/>
                  </w:tcBorders>
                  <w:shd w:val="clear" w:color="auto" w:fill="D9D9D9"/>
                  <w:tcMar>
                    <w:top w:w="0" w:type="dxa"/>
                    <w:left w:w="70" w:type="dxa"/>
                    <w:bottom w:w="0" w:type="dxa"/>
                    <w:right w:w="70" w:type="dxa"/>
                  </w:tcMar>
                  <w:vAlign w:val="center"/>
                </w:tcPr>
                <w:p w14:paraId="76B7434D" w14:textId="77777777" w:rsidR="006C336E" w:rsidRDefault="006C336E" w:rsidP="00C53FB7">
                  <w:pPr>
                    <w:rPr>
                      <w:rFonts w:ascii="Lato" w:eastAsia="Lato" w:hAnsi="Lato" w:cs="Lato"/>
                    </w:rPr>
                  </w:pPr>
                </w:p>
              </w:tc>
            </w:tr>
            <w:tr w:rsidR="006C336E" w14:paraId="5E8B3C11" w14:textId="77777777" w:rsidTr="00D2290D">
              <w:trPr>
                <w:trHeight w:val="376"/>
              </w:trPr>
              <w:tc>
                <w:tcPr>
                  <w:tcW w:w="3047" w:type="dxa"/>
                  <w:vMerge/>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7EE006C" w14:textId="77777777" w:rsidR="006C336E" w:rsidRDefault="006C336E" w:rsidP="00C53FB7">
                  <w:pPr>
                    <w:widowControl w:val="0"/>
                    <w:pBdr>
                      <w:top w:val="nil"/>
                      <w:left w:val="nil"/>
                      <w:bottom w:val="nil"/>
                      <w:right w:val="nil"/>
                      <w:between w:val="nil"/>
                    </w:pBdr>
                    <w:spacing w:after="0"/>
                    <w:rPr>
                      <w:rFonts w:ascii="Lato" w:eastAsia="Lato" w:hAnsi="Lato" w:cs="Lato"/>
                    </w:rPr>
                  </w:pPr>
                </w:p>
              </w:tc>
              <w:tc>
                <w:tcPr>
                  <w:tcW w:w="1275" w:type="dxa"/>
                  <w:vMerge/>
                  <w:tcBorders>
                    <w:top w:val="single" w:sz="12"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2092FB70" w14:textId="77777777" w:rsidR="006C336E" w:rsidRDefault="006C336E" w:rsidP="00C53FB7">
                  <w:pPr>
                    <w:widowControl w:val="0"/>
                    <w:pBdr>
                      <w:top w:val="nil"/>
                      <w:left w:val="nil"/>
                      <w:bottom w:val="nil"/>
                      <w:right w:val="nil"/>
                      <w:between w:val="nil"/>
                    </w:pBdr>
                    <w:spacing w:after="0"/>
                    <w:rPr>
                      <w:rFonts w:ascii="Lato" w:eastAsia="Lato" w:hAnsi="Lato" w:cs="Lato"/>
                    </w:rPr>
                  </w:pPr>
                </w:p>
              </w:tc>
              <w:tc>
                <w:tcPr>
                  <w:tcW w:w="1352"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41C4C71D" w14:textId="77777777" w:rsidR="006C336E" w:rsidRDefault="006C336E" w:rsidP="00C53FB7">
                  <w:pPr>
                    <w:jc w:val="center"/>
                    <w:rPr>
                      <w:rFonts w:ascii="Lato" w:eastAsia="Lato" w:hAnsi="Lato" w:cs="Lato"/>
                    </w:rPr>
                  </w:pPr>
                  <w:r>
                    <w:rPr>
                      <w:rFonts w:ascii="Lato" w:eastAsia="Lato" w:hAnsi="Lato" w:cs="Lato"/>
                      <w:color w:val="000000"/>
                    </w:rPr>
                    <w:t>Data rozpoczęcia</w:t>
                  </w:r>
                </w:p>
              </w:tc>
              <w:tc>
                <w:tcPr>
                  <w:tcW w:w="1560" w:type="dxa"/>
                  <w:tcBorders>
                    <w:top w:val="nil"/>
                    <w:left w:val="nil"/>
                    <w:bottom w:val="single" w:sz="8" w:space="0" w:color="000000"/>
                    <w:right w:val="single" w:sz="12" w:space="0" w:color="000000"/>
                  </w:tcBorders>
                  <w:shd w:val="clear" w:color="auto" w:fill="D9D9D9"/>
                  <w:tcMar>
                    <w:top w:w="0" w:type="dxa"/>
                    <w:left w:w="70" w:type="dxa"/>
                    <w:bottom w:w="0" w:type="dxa"/>
                    <w:right w:w="70" w:type="dxa"/>
                  </w:tcMar>
                  <w:vAlign w:val="center"/>
                </w:tcPr>
                <w:p w14:paraId="35176BB1" w14:textId="77777777" w:rsidR="006C336E" w:rsidRDefault="006C336E" w:rsidP="00C53FB7">
                  <w:pPr>
                    <w:jc w:val="center"/>
                    <w:rPr>
                      <w:rFonts w:ascii="Lato" w:eastAsia="Lato" w:hAnsi="Lato" w:cs="Lato"/>
                    </w:rPr>
                  </w:pPr>
                  <w:r>
                    <w:rPr>
                      <w:rFonts w:ascii="Lato" w:eastAsia="Lato" w:hAnsi="Lato" w:cs="Lato"/>
                      <w:color w:val="000000"/>
                    </w:rPr>
                    <w:t>Data zakończenia</w:t>
                  </w:r>
                </w:p>
              </w:tc>
            </w:tr>
            <w:tr w:rsidR="00213512" w14:paraId="1CBB222C" w14:textId="77777777" w:rsidTr="00D2290D">
              <w:trPr>
                <w:trHeight w:val="113"/>
              </w:trPr>
              <w:tc>
                <w:tcPr>
                  <w:tcW w:w="3047"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E8C3F0E" w14:textId="211234BD" w:rsidR="00213512" w:rsidRDefault="00E94720" w:rsidP="00C53FB7">
                  <w:pPr>
                    <w:rPr>
                      <w:rFonts w:ascii="Lato" w:eastAsia="Lato" w:hAnsi="Lato" w:cs="Lato"/>
                    </w:rPr>
                  </w:pPr>
                  <w:r>
                    <w:rPr>
                      <w:rFonts w:ascii="Lato" w:eastAsia="Lato" w:hAnsi="Lato" w:cs="Lato"/>
                      <w:color w:val="000000"/>
                    </w:rPr>
                    <w:t>Zakończono inwestycję</w:t>
                  </w:r>
                </w:p>
              </w:tc>
              <w:tc>
                <w:tcPr>
                  <w:tcW w:w="127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55BBEA0" w14:textId="1FE8EC4D" w:rsidR="00213512" w:rsidRDefault="00213512" w:rsidP="00C53FB7">
                  <w:pPr>
                    <w:jc w:val="both"/>
                    <w:rPr>
                      <w:rFonts w:ascii="Lato" w:eastAsia="Lato" w:hAnsi="Lato" w:cs="Lato"/>
                    </w:rPr>
                  </w:pPr>
                  <w:r>
                    <w:rPr>
                      <w:rFonts w:ascii="Lato" w:eastAsia="Lato" w:hAnsi="Lato" w:cs="Lato"/>
                    </w:rPr>
                    <w:t>1</w:t>
                  </w:r>
                  <w:r w:rsidR="00E94720">
                    <w:rPr>
                      <w:rFonts w:ascii="Lato" w:eastAsia="Lato" w:hAnsi="Lato" w:cs="Lato"/>
                    </w:rPr>
                    <w:t>00</w:t>
                  </w:r>
                </w:p>
              </w:tc>
              <w:tc>
                <w:tcPr>
                  <w:tcW w:w="1352"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BACBEFE" w14:textId="77777777" w:rsidR="00213512" w:rsidRDefault="00213512" w:rsidP="00C53FB7">
                  <w:pPr>
                    <w:jc w:val="both"/>
                    <w:rPr>
                      <w:rFonts w:ascii="Lato" w:eastAsia="Lato" w:hAnsi="Lato" w:cs="Lato"/>
                    </w:rPr>
                  </w:pPr>
                  <w:r>
                    <w:rPr>
                      <w:rFonts w:ascii="Lato" w:eastAsia="Lato" w:hAnsi="Lato" w:cs="Lato"/>
                    </w:rPr>
                    <w:t>20.10.2020</w:t>
                  </w:r>
                </w:p>
              </w:tc>
              <w:tc>
                <w:tcPr>
                  <w:tcW w:w="1560" w:type="dxa"/>
                  <w:tcBorders>
                    <w:top w:val="nil"/>
                    <w:left w:val="nil"/>
                    <w:bottom w:val="single" w:sz="8" w:space="0" w:color="000000"/>
                    <w:right w:val="single" w:sz="12" w:space="0" w:color="000000"/>
                  </w:tcBorders>
                  <w:tcMar>
                    <w:top w:w="0" w:type="dxa"/>
                    <w:left w:w="70" w:type="dxa"/>
                    <w:bottom w:w="0" w:type="dxa"/>
                    <w:right w:w="70" w:type="dxa"/>
                  </w:tcMar>
                  <w:vAlign w:val="center"/>
                </w:tcPr>
                <w:p w14:paraId="1D27D8F6" w14:textId="684ECD26" w:rsidR="00213512" w:rsidRDefault="00E94720" w:rsidP="00C53FB7">
                  <w:pPr>
                    <w:jc w:val="center"/>
                    <w:rPr>
                      <w:rFonts w:ascii="Lato" w:eastAsia="Lato" w:hAnsi="Lato" w:cs="Lato"/>
                    </w:rPr>
                  </w:pPr>
                  <w:r>
                    <w:rPr>
                      <w:rFonts w:ascii="Lato" w:eastAsia="Lato" w:hAnsi="Lato" w:cs="Lato"/>
                    </w:rPr>
                    <w:t>24</w:t>
                  </w:r>
                  <w:r w:rsidR="00213512">
                    <w:rPr>
                      <w:rFonts w:ascii="Lato" w:eastAsia="Lato" w:hAnsi="Lato" w:cs="Lato"/>
                    </w:rPr>
                    <w:t>.0</w:t>
                  </w:r>
                  <w:r>
                    <w:rPr>
                      <w:rFonts w:ascii="Lato" w:eastAsia="Lato" w:hAnsi="Lato" w:cs="Lato"/>
                    </w:rPr>
                    <w:t>4</w:t>
                  </w:r>
                  <w:r w:rsidR="00213512">
                    <w:rPr>
                      <w:rFonts w:ascii="Lato" w:eastAsia="Lato" w:hAnsi="Lato" w:cs="Lato"/>
                    </w:rPr>
                    <w:t>.202</w:t>
                  </w:r>
                  <w:r>
                    <w:rPr>
                      <w:rFonts w:ascii="Lato" w:eastAsia="Lato" w:hAnsi="Lato" w:cs="Lato"/>
                    </w:rPr>
                    <w:t>5</w:t>
                  </w:r>
                </w:p>
              </w:tc>
            </w:tr>
          </w:tbl>
          <w:p w14:paraId="50FE20A2"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p>
        </w:tc>
      </w:tr>
      <w:tr w:rsidR="006C336E" w14:paraId="52E85AE2" w14:textId="77777777" w:rsidTr="00BD3DE0">
        <w:trPr>
          <w:trHeight w:val="612"/>
        </w:trPr>
        <w:tc>
          <w:tcPr>
            <w:tcW w:w="2763" w:type="dxa"/>
            <w:shd w:val="clear" w:color="auto" w:fill="D9D9D9"/>
          </w:tcPr>
          <w:p w14:paraId="11DE1D35" w14:textId="77777777" w:rsidR="006C336E" w:rsidRPr="00C32D74"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sidRPr="00C32D74">
              <w:rPr>
                <w:rFonts w:ascii="Lato" w:eastAsia="Lato" w:hAnsi="Lato" w:cs="Lato"/>
                <w:color w:val="000000"/>
              </w:rPr>
              <w:t>Dopuszczenie waloryzacji ceny oraz określenie zasad waloryzacji</w:t>
            </w:r>
          </w:p>
        </w:tc>
        <w:tc>
          <w:tcPr>
            <w:tcW w:w="7360" w:type="dxa"/>
            <w:gridSpan w:val="6"/>
          </w:tcPr>
          <w:p w14:paraId="11132438" w14:textId="77777777" w:rsidR="00C32D74" w:rsidRPr="00C32D74" w:rsidRDefault="00A547CB" w:rsidP="00C32D74">
            <w:pPr>
              <w:tabs>
                <w:tab w:val="right" w:leader="hyphen" w:pos="9080"/>
              </w:tabs>
              <w:jc w:val="both"/>
              <w:rPr>
                <w:rFonts w:ascii="Lato" w:hAnsi="Lato"/>
              </w:rPr>
            </w:pPr>
            <w:r w:rsidRPr="00A547CB">
              <w:rPr>
                <w:rFonts w:ascii="Lato" w:hAnsi="Lato"/>
              </w:rPr>
              <w:t>W przypadku, gdy w wyniku pomiaru powykonawczego Lokalu zostanie stwierdzone, iż występuje różnica pomiędzy projektowaną a rzeczywistą powierzchnią Lokalu</w:t>
            </w:r>
            <w:r w:rsidR="00C32D74">
              <w:rPr>
                <w:rFonts w:ascii="Lato" w:hAnsi="Lato"/>
              </w:rPr>
              <w:t xml:space="preserve">  - </w:t>
            </w:r>
            <w:r w:rsidRPr="00A547CB">
              <w:rPr>
                <w:rFonts w:ascii="Lato" w:hAnsi="Lato"/>
              </w:rPr>
              <w:t xml:space="preserve"> gdy rzeczywista powierzchnia Lokalu będzie większa od projektowanej powierzchni Lokalu</w:t>
            </w:r>
            <w:r w:rsidR="00C32D74">
              <w:rPr>
                <w:rFonts w:ascii="Lato" w:hAnsi="Lato"/>
              </w:rPr>
              <w:t xml:space="preserve">, </w:t>
            </w:r>
            <w:r w:rsidRPr="00A547CB">
              <w:rPr>
                <w:rFonts w:ascii="Lato" w:hAnsi="Lato"/>
              </w:rPr>
              <w:t xml:space="preserve">cena Lokalu ulegnie </w:t>
            </w:r>
            <w:r w:rsidR="00C32D74">
              <w:rPr>
                <w:rFonts w:ascii="Lato" w:hAnsi="Lato"/>
              </w:rPr>
              <w:t xml:space="preserve">odpowiedniemu </w:t>
            </w:r>
            <w:r w:rsidRPr="00A547CB">
              <w:rPr>
                <w:rFonts w:ascii="Lato" w:hAnsi="Lato"/>
              </w:rPr>
              <w:t>zwiększeniu</w:t>
            </w:r>
            <w:r w:rsidR="00C32D74">
              <w:rPr>
                <w:rFonts w:ascii="Lato" w:hAnsi="Lato"/>
              </w:rPr>
              <w:t>; z</w:t>
            </w:r>
            <w:r w:rsidRPr="00A547CB">
              <w:rPr>
                <w:rFonts w:ascii="Lato" w:hAnsi="Lato"/>
              </w:rPr>
              <w:t xml:space="preserve">mniejszenie powierzchni Lokalu będzie skutkowało zwrotem na rzecz Nabywcy </w:t>
            </w:r>
            <w:r w:rsidR="00C32D74">
              <w:rPr>
                <w:rFonts w:ascii="Lato" w:hAnsi="Lato"/>
              </w:rPr>
              <w:t xml:space="preserve">odpowiedniej </w:t>
            </w:r>
            <w:r w:rsidRPr="00A547CB">
              <w:rPr>
                <w:rFonts w:ascii="Lato" w:hAnsi="Lato"/>
              </w:rPr>
              <w:t>różnicy</w:t>
            </w:r>
            <w:r w:rsidR="00C32D74">
              <w:rPr>
                <w:rFonts w:ascii="Lato" w:hAnsi="Lato"/>
              </w:rPr>
              <w:t>;</w:t>
            </w:r>
            <w:r w:rsidRPr="00A547CB">
              <w:rPr>
                <w:rFonts w:ascii="Lato" w:hAnsi="Lato"/>
              </w:rPr>
              <w:tab/>
            </w:r>
          </w:p>
          <w:p w14:paraId="26612108" w14:textId="77777777" w:rsidR="00C32D74" w:rsidRPr="00C32D74" w:rsidRDefault="00A547CB" w:rsidP="00C32D74">
            <w:pPr>
              <w:tabs>
                <w:tab w:val="right" w:leader="hyphen" w:pos="9080"/>
              </w:tabs>
              <w:jc w:val="both"/>
              <w:rPr>
                <w:rFonts w:ascii="Lato" w:hAnsi="Lato"/>
              </w:rPr>
            </w:pPr>
            <w:r w:rsidRPr="00A547CB">
              <w:rPr>
                <w:rFonts w:ascii="Lato" w:hAnsi="Lato"/>
              </w:rPr>
              <w:t>W powyższym przypadku korekta ceny polegać będzie na pomnożeniu różnicy powierzchni i ceny jednego metra kwadratowego z dnia podpisania umowy</w:t>
            </w:r>
            <w:r w:rsidR="00C32D74">
              <w:rPr>
                <w:rFonts w:ascii="Lato" w:hAnsi="Lato"/>
              </w:rPr>
              <w:t xml:space="preserve"> deweloperskiej</w:t>
            </w:r>
            <w:r w:rsidRPr="00A547CB">
              <w:rPr>
                <w:rFonts w:ascii="Lato" w:hAnsi="Lato"/>
              </w:rPr>
              <w:t>.</w:t>
            </w:r>
            <w:r w:rsidRPr="00A547CB">
              <w:rPr>
                <w:rFonts w:ascii="Lato" w:hAnsi="Lato"/>
              </w:rPr>
              <w:tab/>
            </w:r>
          </w:p>
          <w:p w14:paraId="773CFB95" w14:textId="77777777" w:rsidR="00C32D74" w:rsidRPr="00C32D74" w:rsidRDefault="00A547CB" w:rsidP="00C32D74">
            <w:pPr>
              <w:tabs>
                <w:tab w:val="right" w:leader="hyphen" w:pos="9080"/>
              </w:tabs>
              <w:jc w:val="both"/>
              <w:rPr>
                <w:rFonts w:ascii="Lato" w:hAnsi="Lato"/>
              </w:rPr>
            </w:pPr>
            <w:r w:rsidRPr="00A547CB">
              <w:rPr>
                <w:rFonts w:ascii="Lato" w:hAnsi="Lato"/>
              </w:rPr>
              <w:t>Deweloper powiadomi na piśmie Nabywcę, najpóźniej w terminie 5 (pięć) dni przed planowanym dniem odbioru Lokalu o rzeczywistej powierzchni Lokalu, ustalonej w następstwie pomiaru powykonawczego</w:t>
            </w:r>
            <w:r w:rsidR="00C32D74">
              <w:rPr>
                <w:rFonts w:ascii="Lato" w:hAnsi="Lato"/>
              </w:rPr>
              <w:t xml:space="preserve"> a w [</w:t>
            </w:r>
            <w:proofErr w:type="spellStart"/>
            <w:r w:rsidR="00C32D74">
              <w:rPr>
                <w:rFonts w:ascii="Lato" w:hAnsi="Lato"/>
              </w:rPr>
              <w:t>rzypadku</w:t>
            </w:r>
            <w:proofErr w:type="spellEnd"/>
            <w:r w:rsidR="00C32D74">
              <w:rPr>
                <w:rFonts w:ascii="Lato" w:hAnsi="Lato"/>
              </w:rPr>
              <w:t xml:space="preserve"> wystąpienia różnicy - </w:t>
            </w:r>
            <w:r w:rsidRPr="00A547CB">
              <w:rPr>
                <w:rFonts w:ascii="Lato" w:hAnsi="Lato"/>
              </w:rPr>
              <w:t>o ostatecznej cenie Lokalu. Rozliczenie tej ceny nastąpi przed zawarciem umowy sprzedaży przez pomniejszenie lub powiększenie ostatniej wpłaty ceny Lokalu i dokonanie stosownej dopłaty przez Nabywcę lub zwrotu przez Dewelopera. Korekta ceny Lokalu w tym trybie nie wymaga zmiany umowy.</w:t>
            </w:r>
            <w:r w:rsidRPr="00A547CB">
              <w:rPr>
                <w:rFonts w:ascii="Lato" w:hAnsi="Lato"/>
              </w:rPr>
              <w:tab/>
            </w:r>
          </w:p>
          <w:p w14:paraId="798C6E7F" w14:textId="77777777" w:rsidR="00C32D74" w:rsidRPr="00C32D74" w:rsidRDefault="00A547CB" w:rsidP="00C32D74">
            <w:pPr>
              <w:tabs>
                <w:tab w:val="right" w:leader="hyphen" w:pos="9080"/>
              </w:tabs>
              <w:jc w:val="both"/>
              <w:rPr>
                <w:rFonts w:ascii="Lato" w:hAnsi="Lato"/>
                <w:b/>
                <w:bCs/>
              </w:rPr>
            </w:pPr>
            <w:r w:rsidRPr="00A547CB">
              <w:rPr>
                <w:rFonts w:ascii="Lato" w:hAnsi="Lato"/>
              </w:rPr>
              <w:t xml:space="preserve"> </w:t>
            </w:r>
          </w:p>
          <w:p w14:paraId="1B780995" w14:textId="77777777" w:rsidR="00C32D74" w:rsidRPr="00C32D74" w:rsidRDefault="00C32D74" w:rsidP="00C53FB7">
            <w:pPr>
              <w:pStyle w:val="Akapitzlist"/>
              <w:tabs>
                <w:tab w:val="right" w:leader="underscore" w:pos="9071"/>
              </w:tabs>
              <w:spacing w:after="200" w:line="276" w:lineRule="auto"/>
              <w:ind w:left="0"/>
              <w:jc w:val="both"/>
              <w:rPr>
                <w:rFonts w:ascii="Lato" w:hAnsi="Lato"/>
              </w:rPr>
            </w:pPr>
          </w:p>
          <w:p w14:paraId="67144DF4" w14:textId="77777777" w:rsidR="00C32D74" w:rsidRPr="00C32D74" w:rsidRDefault="00A547CB" w:rsidP="00C53FB7">
            <w:pPr>
              <w:pStyle w:val="Akapitzlist"/>
              <w:tabs>
                <w:tab w:val="right" w:leader="underscore" w:pos="9071"/>
              </w:tabs>
              <w:spacing w:after="200" w:line="276" w:lineRule="auto"/>
              <w:ind w:left="0"/>
              <w:jc w:val="both"/>
              <w:rPr>
                <w:rFonts w:ascii="Lato" w:hAnsi="Lato"/>
              </w:rPr>
            </w:pPr>
            <w:r w:rsidRPr="00A547CB">
              <w:rPr>
                <w:rFonts w:ascii="Lato" w:hAnsi="Lato"/>
              </w:rPr>
              <w:t>W przypadku zmiany stawek podatku od towarów i usług (VAT), w stosunku do obowiązujących w chwili zawarcia umowy</w:t>
            </w:r>
            <w:r w:rsidR="00C32D74">
              <w:rPr>
                <w:rFonts w:ascii="Lato" w:hAnsi="Lato"/>
              </w:rPr>
              <w:t xml:space="preserve"> deweloperskiej</w:t>
            </w:r>
            <w:r w:rsidRPr="00A547CB">
              <w:rPr>
                <w:rFonts w:ascii="Lato" w:hAnsi="Lato"/>
              </w:rPr>
              <w:t xml:space="preserve">, mających wpływ na cenę sprzedaży przedmiotu umowy, Deweloper pisemnie zawiadomi o tej zmianie Nabywcę, wskazując jednocześnie nową cenę nabycia brutto.  </w:t>
            </w:r>
          </w:p>
          <w:p w14:paraId="10FF65A8" w14:textId="77777777" w:rsidR="00C32D74" w:rsidRPr="00C32D74" w:rsidRDefault="00C32D74" w:rsidP="00C53FB7">
            <w:pPr>
              <w:pStyle w:val="Akapitzlist"/>
              <w:tabs>
                <w:tab w:val="right" w:leader="underscore" w:pos="9071"/>
              </w:tabs>
              <w:spacing w:after="200" w:line="276" w:lineRule="auto"/>
              <w:ind w:left="0"/>
              <w:jc w:val="both"/>
              <w:rPr>
                <w:rFonts w:ascii="Lato" w:hAnsi="Lato"/>
              </w:rPr>
            </w:pPr>
          </w:p>
          <w:p w14:paraId="30EB939B" w14:textId="77777777" w:rsidR="00C32D74" w:rsidRPr="00C32D74" w:rsidRDefault="00C32D74" w:rsidP="00C53FB7">
            <w:pPr>
              <w:pStyle w:val="Akapitzlist"/>
              <w:tabs>
                <w:tab w:val="right" w:leader="underscore" w:pos="9071"/>
              </w:tabs>
              <w:spacing w:after="200" w:line="276" w:lineRule="auto"/>
              <w:ind w:left="0"/>
              <w:jc w:val="both"/>
              <w:rPr>
                <w:rFonts w:ascii="Lato" w:hAnsi="Lato"/>
              </w:rPr>
            </w:pPr>
          </w:p>
          <w:p w14:paraId="588A7647" w14:textId="77777777" w:rsidR="006C336E" w:rsidRPr="00C32D74"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p>
        </w:tc>
      </w:tr>
      <w:tr w:rsidR="006C336E" w14:paraId="3308F62A" w14:textId="77777777" w:rsidTr="00BD3DE0">
        <w:trPr>
          <w:trHeight w:val="612"/>
        </w:trPr>
        <w:tc>
          <w:tcPr>
            <w:tcW w:w="10123" w:type="dxa"/>
            <w:gridSpan w:val="7"/>
            <w:shd w:val="clear" w:color="auto" w:fill="BFBFBF"/>
          </w:tcPr>
          <w:p w14:paraId="36F368D1" w14:textId="77777777" w:rsidR="006C336E" w:rsidRDefault="006C336E" w:rsidP="00C53FB7">
            <w:pPr>
              <w:pBdr>
                <w:top w:val="nil"/>
                <w:left w:val="nil"/>
                <w:bottom w:val="nil"/>
                <w:right w:val="nil"/>
                <w:between w:val="nil"/>
              </w:pBdr>
              <w:spacing w:before="120" w:after="200" w:line="276" w:lineRule="auto"/>
              <w:jc w:val="both"/>
              <w:rPr>
                <w:rFonts w:ascii="Lato" w:eastAsia="Lato" w:hAnsi="Lato" w:cs="Lato"/>
                <w:b/>
                <w:color w:val="000000"/>
              </w:rPr>
            </w:pPr>
            <w:r>
              <w:rPr>
                <w:rFonts w:ascii="Lato" w:eastAsia="Lato" w:hAnsi="Lato" w:cs="Lato"/>
                <w:b/>
                <w:color w:val="000000"/>
              </w:rPr>
              <w:t>WARUNKI ODSTĄPIENIA OD UMOWY DEWELOPERSKIEJ</w:t>
            </w:r>
            <w:r w:rsidR="00253F21">
              <w:rPr>
                <w:rFonts w:ascii="Lato" w:eastAsia="Lato" w:hAnsi="Lato" w:cs="Lato"/>
                <w:b/>
                <w:color w:val="000000"/>
              </w:rPr>
              <w:t xml:space="preserve"> </w:t>
            </w:r>
            <w:r w:rsidR="00A547CB" w:rsidRPr="00A547CB">
              <w:rPr>
                <w:rFonts w:ascii="Lato" w:hAnsi="Lato"/>
                <w:b/>
              </w:rPr>
              <w:t xml:space="preserve">LUB UMOWY, O KTÓREJ MOWA W ART. 2 UST. 1 PKT 2, 3 LUB 5 USTAWY Z DNIA 20 MAJA 2021 R. O OCHRONIE PRAW NABYWCY </w:t>
            </w:r>
            <w:r w:rsidR="00A547CB" w:rsidRPr="00A547CB">
              <w:rPr>
                <w:rFonts w:ascii="Lato" w:hAnsi="Lato"/>
                <w:b/>
              </w:rPr>
              <w:lastRenderedPageBreak/>
              <w:t>LOKALU MIESZKALNEGO LUB DOMU JEDNORODZINNEGO ORAZ DEWELOPERSKIM FUNDUSZU GWARANCYJNYM</w:t>
            </w:r>
          </w:p>
        </w:tc>
      </w:tr>
      <w:tr w:rsidR="006C336E" w14:paraId="20ECE03A" w14:textId="77777777" w:rsidTr="00BD3DE0">
        <w:trPr>
          <w:trHeight w:val="612"/>
        </w:trPr>
        <w:tc>
          <w:tcPr>
            <w:tcW w:w="2763" w:type="dxa"/>
            <w:shd w:val="clear" w:color="auto" w:fill="D9D9D9"/>
          </w:tcPr>
          <w:p w14:paraId="79D873BC" w14:textId="77777777" w:rsidR="006C336E" w:rsidRDefault="006C336E" w:rsidP="00C53FB7">
            <w:pPr>
              <w:pBdr>
                <w:top w:val="nil"/>
                <w:left w:val="nil"/>
                <w:bottom w:val="nil"/>
                <w:right w:val="nil"/>
                <w:between w:val="nil"/>
              </w:pBdr>
              <w:spacing w:before="40" w:after="200" w:line="276" w:lineRule="auto"/>
              <w:jc w:val="left"/>
              <w:rPr>
                <w:rFonts w:ascii="Lato" w:eastAsia="Lato" w:hAnsi="Lato" w:cs="Lato"/>
                <w:color w:val="000000"/>
              </w:rPr>
            </w:pPr>
            <w:r w:rsidRPr="00305A2F">
              <w:rPr>
                <w:rFonts w:ascii="Lato" w:eastAsia="Lato" w:hAnsi="Lato" w:cs="Lato"/>
                <w:color w:val="000000"/>
              </w:rPr>
              <w:lastRenderedPageBreak/>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7360" w:type="dxa"/>
            <w:gridSpan w:val="6"/>
          </w:tcPr>
          <w:p w14:paraId="7FDCE243" w14:textId="77777777" w:rsidR="006C336E" w:rsidRPr="0079443E"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79443E">
              <w:rPr>
                <w:rFonts w:ascii="Palatino Linotype" w:hAnsi="Palatino Linotype"/>
                <w:sz w:val="18"/>
                <w:szCs w:val="18"/>
              </w:rPr>
              <w:t>Nabywca ma prawo odstąpić od umowy:</w:t>
            </w:r>
          </w:p>
          <w:p w14:paraId="57E124FE"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umowa nie zawiera elementów, o których mowa w art. 35 Nowej Ustawy Deweloperskiej,</w:t>
            </w:r>
          </w:p>
          <w:p w14:paraId="7354F977"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informacje zawarte w umowie nie są zgodne z informacjami zawartymi w prospekcie informacyjnym lub jego załącznikach, z wyjątkiem zmian, o których mowa w art. 35 ust. 2 Nowej Ustawy Deweloperskiej,</w:t>
            </w:r>
          </w:p>
          <w:p w14:paraId="1DF3383A"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Deweloper nie doręczył Nabywcy zgodnie z art. 21 lub art. 22 prospektu informacyjnego wraz z załącznikami lub informacji o zmianie danych lub informacji zawartych w prospekcie informacyjnym lub jego załącznikach;</w:t>
            </w:r>
          </w:p>
          <w:p w14:paraId="16C0D56D"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dane lub informacje zawarte w prospekcie informacyjnym lub jego załącznikach, na podstawie których zawarto umowę deweloperską, są niezgodne ze stanem faktycznym lub prawnym w dniu zawarcia umowy,</w:t>
            </w:r>
          </w:p>
          <w:p w14:paraId="7EC86D97"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prospekt informacyjny, na podstawie którego zawarto umowę, nie zawiera informacji określonych we wzorze prospektu informacyjnego,</w:t>
            </w:r>
          </w:p>
          <w:p w14:paraId="6A21467E"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 xml:space="preserve">w przypadku </w:t>
            </w:r>
            <w:proofErr w:type="spellStart"/>
            <w:r w:rsidRPr="0079443E">
              <w:rPr>
                <w:rFonts w:ascii="Palatino Linotype" w:hAnsi="Palatino Linotype"/>
                <w:sz w:val="18"/>
                <w:szCs w:val="18"/>
              </w:rPr>
              <w:t>nieprzeniesienia</w:t>
            </w:r>
            <w:proofErr w:type="spellEnd"/>
            <w:r w:rsidRPr="0079443E">
              <w:rPr>
                <w:rFonts w:ascii="Palatino Linotype" w:hAnsi="Palatino Linotype"/>
                <w:sz w:val="18"/>
                <w:szCs w:val="18"/>
              </w:rPr>
              <w:t xml:space="preserve"> na nabywcę praw wynikających z umowy deweloperskiej, w terminie wynikającym z tej umowy,</w:t>
            </w:r>
          </w:p>
          <w:p w14:paraId="199A4DBB" w14:textId="13F3BE4A"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 xml:space="preserve">w przypadku gdy Deweloper nie zawrze umowy mieszkaniowego rachunku powierniczego z innym bankiem </w:t>
            </w:r>
            <w:r w:rsidR="00123233" w:rsidRPr="00E03319">
              <w:rPr>
                <w:rFonts w:ascii="Palatino Linotype" w:hAnsi="Palatino Linotype"/>
                <w:sz w:val="18"/>
                <w:szCs w:val="18"/>
                <w:u w:val="single"/>
              </w:rPr>
              <w:t>lub spół</w:t>
            </w:r>
            <w:r w:rsidR="00A62B98" w:rsidRPr="00E03319">
              <w:rPr>
                <w:rFonts w:ascii="Palatino Linotype" w:hAnsi="Palatino Linotype"/>
                <w:sz w:val="18"/>
                <w:szCs w:val="18"/>
                <w:u w:val="single"/>
              </w:rPr>
              <w:t xml:space="preserve">dzielczą kasą oszczędnościowo- kredytową </w:t>
            </w:r>
            <w:r w:rsidRPr="0079443E">
              <w:rPr>
                <w:rFonts w:ascii="Palatino Linotype" w:hAnsi="Palatino Linotype"/>
                <w:sz w:val="18"/>
                <w:szCs w:val="18"/>
              </w:rPr>
              <w:t>w trybie i terminie, o których mowa w art. 10 ust. 1 Nowej Ustawy Deweloperskiej</w:t>
            </w:r>
            <w:r w:rsidR="00A62B98">
              <w:rPr>
                <w:rStyle w:val="Odwoanieprzypisudolnego"/>
                <w:rFonts w:ascii="Palatino Linotype" w:hAnsi="Palatino Linotype"/>
                <w:sz w:val="18"/>
                <w:szCs w:val="18"/>
              </w:rPr>
              <w:footnoteReference w:id="7"/>
            </w:r>
            <w:r w:rsidRPr="0079443E">
              <w:rPr>
                <w:rFonts w:ascii="Palatino Linotype" w:hAnsi="Palatino Linotype"/>
                <w:sz w:val="18"/>
                <w:szCs w:val="18"/>
              </w:rPr>
              <w:t>;</w:t>
            </w:r>
            <w:r w:rsidR="00A62B98">
              <w:rPr>
                <w:rFonts w:ascii="Palatino Linotype" w:hAnsi="Palatino Linotype"/>
                <w:sz w:val="18"/>
                <w:szCs w:val="18"/>
              </w:rPr>
              <w:t xml:space="preserve"> </w:t>
            </w:r>
            <w:r w:rsidR="00A62B98" w:rsidRPr="00E03319">
              <w:rPr>
                <w:rFonts w:ascii="Palatino Linotype" w:hAnsi="Palatino Linotype"/>
                <w:i/>
                <w:sz w:val="18"/>
                <w:szCs w:val="18"/>
              </w:rPr>
              <w:t>(</w:t>
            </w:r>
            <w:r w:rsidR="00A62B98">
              <w:rPr>
                <w:rFonts w:ascii="Palatino Linotype" w:hAnsi="Palatino Linotype"/>
                <w:i/>
                <w:sz w:val="18"/>
                <w:szCs w:val="18"/>
              </w:rPr>
              <w:t>aktualizacja 29.03.2024 r.</w:t>
            </w:r>
            <w:r w:rsidR="00A62B98" w:rsidRPr="00E03319">
              <w:rPr>
                <w:rFonts w:ascii="Palatino Linotype" w:hAnsi="Palatino Linotype"/>
                <w:i/>
                <w:sz w:val="18"/>
                <w:szCs w:val="18"/>
              </w:rPr>
              <w:t>)</w:t>
            </w:r>
          </w:p>
          <w:p w14:paraId="4FA4BF5F"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w przypadku gdy Deweloper nie posiada zgody wierzyciela hipotecznego lub zobowiązania do jej udzielenia, o których mowa w art. 25 ust. 1 pkt 1 lub 2 Nowej Ustawy Deweloperskiej;</w:t>
            </w:r>
          </w:p>
          <w:p w14:paraId="7E4E8171"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w przypadku niewykonania przez Dewelopera obowiązku, o którym mowa w art. 12 ust. 2 Nowej Ustawy Deweloperskiej, w terminie określonym w tym przepisie;</w:t>
            </w:r>
          </w:p>
          <w:p w14:paraId="24C8B567"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w przypadku nieusunięcia przez Dewelopera wady istotnej Lokalu na zasadach określonych w art. 41 ust. 11 Nowej Ustawy Deweloperskiej;</w:t>
            </w:r>
          </w:p>
          <w:p w14:paraId="42E3F2E1"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w przypadku stwierdzenia przez rzeczoznawcę istnienia wady istotnej, o którym mowa w art. 41 ust. 15 Nowej Ustawy Deweloperskiej;</w:t>
            </w:r>
          </w:p>
          <w:p w14:paraId="3DE98000" w14:textId="77777777" w:rsidR="006C336E" w:rsidRPr="0079443E" w:rsidRDefault="006C336E" w:rsidP="00C53FB7">
            <w:pPr>
              <w:pStyle w:val="Akapitzlist"/>
              <w:numPr>
                <w:ilvl w:val="0"/>
                <w:numId w:val="6"/>
              </w:numPr>
              <w:tabs>
                <w:tab w:val="right" w:leader="hyphen" w:pos="9080"/>
              </w:tabs>
              <w:ind w:left="898" w:hanging="426"/>
              <w:jc w:val="both"/>
              <w:rPr>
                <w:rFonts w:ascii="Palatino Linotype" w:hAnsi="Palatino Linotype"/>
                <w:sz w:val="18"/>
                <w:szCs w:val="18"/>
              </w:rPr>
            </w:pPr>
            <w:r w:rsidRPr="0079443E">
              <w:rPr>
                <w:rFonts w:ascii="Palatino Linotype" w:hAnsi="Palatino Linotype"/>
                <w:sz w:val="18"/>
                <w:szCs w:val="18"/>
              </w:rPr>
              <w:t>jeżeli syndyk zażądał wykonania umowy na podstawie art. 98 ustawy z dnia 28 lutego 2003 r. - Prawo upadłościowe,</w:t>
            </w:r>
          </w:p>
          <w:p w14:paraId="41E046CF"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Nabywca ma prawo odstąpić od umowy deweloperskiej także w przypadku:</w:t>
            </w:r>
          </w:p>
          <w:p w14:paraId="54093FA0" w14:textId="77777777" w:rsidR="006C336E" w:rsidRPr="003B3F49" w:rsidRDefault="006C336E" w:rsidP="00C53FB7">
            <w:pPr>
              <w:pStyle w:val="Akapitzlist"/>
              <w:numPr>
                <w:ilvl w:val="0"/>
                <w:numId w:val="7"/>
              </w:numPr>
              <w:tabs>
                <w:tab w:val="right" w:leader="hyphen" w:pos="9080"/>
              </w:tabs>
              <w:ind w:left="898" w:hanging="426"/>
              <w:jc w:val="both"/>
              <w:rPr>
                <w:rFonts w:ascii="Palatino Linotype" w:hAnsi="Palatino Linotype"/>
                <w:sz w:val="18"/>
                <w:szCs w:val="18"/>
              </w:rPr>
            </w:pPr>
            <w:r w:rsidRPr="003B3F49">
              <w:rPr>
                <w:rFonts w:ascii="Palatino Linotype" w:hAnsi="Palatino Linotype"/>
                <w:sz w:val="18"/>
                <w:szCs w:val="18"/>
              </w:rPr>
              <w:t>zwiększenia ceny przedmiotu sprzedaży wskutek zmiany stawek podatku VAT i/lub</w:t>
            </w:r>
          </w:p>
          <w:p w14:paraId="01DAC175" w14:textId="77777777" w:rsidR="006C336E" w:rsidRPr="003B3F49" w:rsidRDefault="006C336E" w:rsidP="00C53FB7">
            <w:pPr>
              <w:pStyle w:val="Akapitzlist"/>
              <w:numPr>
                <w:ilvl w:val="0"/>
                <w:numId w:val="7"/>
              </w:numPr>
              <w:tabs>
                <w:tab w:val="right" w:leader="hyphen" w:pos="9080"/>
              </w:tabs>
              <w:ind w:left="898" w:hanging="426"/>
              <w:jc w:val="both"/>
              <w:rPr>
                <w:rFonts w:ascii="Palatino Linotype" w:hAnsi="Palatino Linotype"/>
                <w:sz w:val="18"/>
                <w:szCs w:val="18"/>
              </w:rPr>
            </w:pPr>
            <w:r w:rsidRPr="003B3F49">
              <w:rPr>
                <w:rFonts w:ascii="Palatino Linotype" w:hAnsi="Palatino Linotype"/>
                <w:sz w:val="18"/>
                <w:szCs w:val="18"/>
              </w:rPr>
              <w:t xml:space="preserve">zwiększenia ceny przedmiotu sprzedaży wskutek wystąpienia różnicy powierzchni lokalu na podstawie pomiaru powykonawczego w stosunku do powierzchni projektowanej </w:t>
            </w:r>
          </w:p>
          <w:p w14:paraId="403C614C" w14:textId="77777777" w:rsidR="006C336E" w:rsidRPr="003B3F49" w:rsidRDefault="006C336E" w:rsidP="00C53FB7">
            <w:pPr>
              <w:tabs>
                <w:tab w:val="right" w:leader="hyphen" w:pos="9080"/>
              </w:tabs>
              <w:ind w:left="472"/>
              <w:jc w:val="both"/>
              <w:rPr>
                <w:rFonts w:ascii="Palatino Linotype" w:hAnsi="Palatino Linotype"/>
                <w:sz w:val="18"/>
                <w:szCs w:val="18"/>
              </w:rPr>
            </w:pPr>
            <w:r w:rsidRPr="003B3F49">
              <w:rPr>
                <w:rFonts w:ascii="Palatino Linotype" w:hAnsi="Palatino Linotype"/>
                <w:sz w:val="18"/>
                <w:szCs w:val="18"/>
              </w:rPr>
              <w:t>w terminie 14 dni od otrzymania zawiadomienia od Dewelopera, z prawem do zwrotu dokonanych wpłat w nominalnej wysokości, w takim zakresie, w jakim wpłaty te zostały wypłacone Deweloperowi przez bank z otwartego mieszkaniowego rachunku powierniczego, niezwłocznie, jednak nie później niż w terminie 30 dni liczonych od złożenia oświadczenia o odstąpieniu od umowy.</w:t>
            </w:r>
          </w:p>
          <w:p w14:paraId="676D7880" w14:textId="77777777" w:rsidR="006C336E" w:rsidRPr="003B3F49" w:rsidRDefault="006C336E" w:rsidP="00C53FB7">
            <w:pPr>
              <w:tabs>
                <w:tab w:val="right" w:leader="hyphen" w:pos="9080"/>
              </w:tabs>
              <w:ind w:left="472"/>
              <w:jc w:val="both"/>
              <w:rPr>
                <w:rFonts w:ascii="Palatino Linotype" w:hAnsi="Palatino Linotype"/>
                <w:sz w:val="18"/>
                <w:szCs w:val="18"/>
              </w:rPr>
            </w:pPr>
            <w:r w:rsidRPr="003B3F49">
              <w:rPr>
                <w:rFonts w:ascii="Palatino Linotype" w:hAnsi="Palatino Linotype"/>
                <w:sz w:val="18"/>
                <w:szCs w:val="18"/>
              </w:rPr>
              <w:t xml:space="preserve">Jeżeli w wyżej wymienionym 14 dniowym terminie Nabywca nie złoży stosownego oświadczenia o odstąpieniu od umowy, to wówczas będzie zobowiązany do uregulowania różnicy w cenie przedmiotu sprzedaży, nie później niż w terminie 60 dni od otrzymania zawiadomienia. </w:t>
            </w:r>
            <w:r w:rsidRPr="003B3F49">
              <w:rPr>
                <w:rFonts w:ascii="Palatino Linotype" w:hAnsi="Palatino Linotype"/>
                <w:sz w:val="18"/>
                <w:szCs w:val="18"/>
              </w:rPr>
              <w:tab/>
            </w:r>
          </w:p>
          <w:p w14:paraId="6DB4B9D0"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W przypadkach, o których mowa w ust. 1 pkt. 1) – 5) tego paragrafu, Nabywca ma prawo odstąpienia od umowy deweloperskiej w terminie 30 dni od dnia jej zawarcia.</w:t>
            </w:r>
          </w:p>
          <w:p w14:paraId="49494F4E"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 xml:space="preserve">W przypadku, o którym mowa w ust. 1 pkt 6) tego paragrafu, przed skorzystaniem z prawa do odstąpienia od umowy Nabywca wyznacza Deweloperowi 120-dniowy termin na przeniesienie praw wynikających z umowy deweloperskiej, a w razie bezskutecznego upływu wyznaczonego terminu jest uprawniony do odstąpienia od </w:t>
            </w:r>
            <w:r w:rsidRPr="003B3F49">
              <w:rPr>
                <w:rFonts w:ascii="Palatino Linotype" w:hAnsi="Palatino Linotype"/>
                <w:sz w:val="18"/>
                <w:szCs w:val="18"/>
              </w:rPr>
              <w:lastRenderedPageBreak/>
              <w:t>tej umowy. Nabywca zachowuje roszczenie z tytułu kary umownej za okres opóźnienia.</w:t>
            </w:r>
          </w:p>
          <w:p w14:paraId="1C744F29"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W przypadku, o którym mowa w ust. 1 pkt 7) tego paragrafu, Nabywca ma prawo odstąpienia od umowy deweloperskiej, po dokonaniu przez bank zwrotu środków zgodnie z art. 10 ust. 3 Nowej Ustawy Deweloperskiej.</w:t>
            </w:r>
          </w:p>
          <w:p w14:paraId="350D99FB"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W przypadku, o którym mowa w ust. 1 pkt 8) tego paragrafu, Nabywca ma prawo odstąpienia od umowy deweloperskiej, w terminie 60 dni od dnia jej zawarcia.</w:t>
            </w:r>
          </w:p>
          <w:p w14:paraId="65D913F7"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W przypadku, o którym mowa w ust. 1 pkt 9) tego paragrafu, nabywca ma prawo odstąpienia od umowy deweloperskiej, po upływie 60 dni od dnia podania do publicznej wiadomości informacji, o których mowa w art. 12 ust. 1 Nowej Ustawy Deweloperskiej.</w:t>
            </w:r>
          </w:p>
          <w:p w14:paraId="53DFC624"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Oświadczenie woli Nabywcy o odstąpieniu od umowy deweloperskiej jest skuteczne, jeżeli zawiera zgodę na wykreślenie z księgi wieczystej odpowiedniego roszczenia Nabywcy, złożoną w formie pisemnej z podpisem notarialnie poświadczonym.</w:t>
            </w:r>
          </w:p>
          <w:p w14:paraId="4AC143FF"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Deweloper ma prawo odstąpić od umowy:</w:t>
            </w:r>
          </w:p>
          <w:p w14:paraId="735A5D35" w14:textId="77777777" w:rsidR="006C336E" w:rsidRPr="003B3F49" w:rsidRDefault="006C336E" w:rsidP="00C53FB7">
            <w:pPr>
              <w:pStyle w:val="Akapitzlist"/>
              <w:numPr>
                <w:ilvl w:val="0"/>
                <w:numId w:val="9"/>
              </w:numPr>
              <w:tabs>
                <w:tab w:val="right" w:leader="hyphen" w:pos="9080"/>
              </w:tabs>
              <w:ind w:left="898" w:hanging="426"/>
              <w:jc w:val="both"/>
              <w:rPr>
                <w:rFonts w:ascii="Palatino Linotype" w:hAnsi="Palatino Linotype"/>
                <w:sz w:val="18"/>
                <w:szCs w:val="18"/>
              </w:rPr>
            </w:pPr>
            <w:r w:rsidRPr="003B3F49">
              <w:rPr>
                <w:rFonts w:ascii="Palatino Linotype" w:hAnsi="Palatino Linotype"/>
                <w:sz w:val="18"/>
                <w:szCs w:val="18"/>
              </w:rPr>
              <w:t>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6CB6B6B5" w14:textId="77777777" w:rsidR="006C336E" w:rsidRPr="003B3F49" w:rsidRDefault="006C336E" w:rsidP="00C53FB7">
            <w:pPr>
              <w:pStyle w:val="Akapitzlist"/>
              <w:numPr>
                <w:ilvl w:val="0"/>
                <w:numId w:val="9"/>
              </w:numPr>
              <w:tabs>
                <w:tab w:val="right" w:leader="hyphen" w:pos="9080"/>
              </w:tabs>
              <w:ind w:left="898" w:hanging="426"/>
              <w:jc w:val="both"/>
              <w:rPr>
                <w:rFonts w:ascii="Palatino Linotype" w:hAnsi="Palatino Linotype"/>
                <w:sz w:val="18"/>
                <w:szCs w:val="18"/>
              </w:rPr>
            </w:pPr>
            <w:r w:rsidRPr="003B3F49">
              <w:rPr>
                <w:rFonts w:ascii="Palatino Linotype" w:hAnsi="Palatino Linotype"/>
                <w:sz w:val="18"/>
                <w:szCs w:val="18"/>
              </w:rPr>
              <w:t>w przypadku niestawienia się Nabywcy do odbioru Lokalu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388C32B8"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W przypadku odstąpienia od umowy deweloperskiej przez Dewelopera na podstawie ust. 9 pkt 1) lub 2) tego paragrafu (art. 43 ust. 7 lub 8 Nowej Ustawy Deweloperskiej), Nabywca jest zobowiązany wyrazić zgodę na wykreślenie z księgi wieczystej odpowiedniego roszczenia Nabywcy, złożoną w formie pisemnej z podpisem notarialnie poświadczonym.</w:t>
            </w:r>
          </w:p>
          <w:p w14:paraId="75828526"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w:t>
            </w:r>
          </w:p>
          <w:p w14:paraId="2B3AE783"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 xml:space="preserve">W przypadku odstąpienia od niniejszej umowy przez Dewelopera, </w:t>
            </w:r>
            <w:r w:rsidRPr="003B3F49">
              <w:rPr>
                <w:rFonts w:ascii="Palatino Linotype" w:hAnsi="Palatino Linotype"/>
                <w:sz w:val="18"/>
                <w:szCs w:val="18"/>
              </w:rPr>
              <w:br/>
              <w:t xml:space="preserve">w przypadkach określonych w niniejszym paragrafie, kwoty wpłacone przez Nabywcę Deweloper zwróci bez odsetek w terminie do 30 dni od daty skutecznego odstąpienia od niniejszej umowy, z zastrzeżeniem ust. 14 poniżej pod warunkiem wyrażenia przez Nabywcę zgody na wykreślenie z księgi wieczystej odpowiedniego roszczenia Nabywcy, złożonej w formie pisemnej </w:t>
            </w:r>
            <w:r w:rsidRPr="003B3F49">
              <w:rPr>
                <w:rFonts w:ascii="Palatino Linotype" w:hAnsi="Palatino Linotype"/>
                <w:sz w:val="18"/>
                <w:szCs w:val="18"/>
              </w:rPr>
              <w:br/>
              <w:t>z podpisem notarialnie poświadczonym.</w:t>
            </w:r>
          </w:p>
          <w:p w14:paraId="0DD044DD" w14:textId="77777777" w:rsidR="006C336E" w:rsidRPr="003B3F49"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 xml:space="preserve">[Kary umowne] W przypadku </w:t>
            </w:r>
            <w:proofErr w:type="spellStart"/>
            <w:r w:rsidRPr="003B3F49">
              <w:rPr>
                <w:rFonts w:ascii="Palatino Linotype" w:hAnsi="Palatino Linotype"/>
                <w:sz w:val="18"/>
                <w:szCs w:val="18"/>
              </w:rPr>
              <w:t>nieprzeniesienia</w:t>
            </w:r>
            <w:proofErr w:type="spellEnd"/>
            <w:r w:rsidRPr="003B3F49">
              <w:rPr>
                <w:rFonts w:ascii="Palatino Linotype" w:hAnsi="Palatino Linotype"/>
                <w:sz w:val="18"/>
                <w:szCs w:val="18"/>
              </w:rPr>
              <w:t xml:space="preserve"> przez Dewelopera na Nabywcę prawa własności Lokalu wraz z prawami z nim związanymi (art. 43 ust. 1 pkt 6) Nowej Ustawy Deweloperskiej), w terminie wskazanym w § </w:t>
            </w:r>
            <w:r w:rsidR="003B3F49" w:rsidRPr="003B3F49">
              <w:rPr>
                <w:rFonts w:ascii="Palatino Linotype" w:hAnsi="Palatino Linotype"/>
                <w:sz w:val="18"/>
                <w:szCs w:val="18"/>
              </w:rPr>
              <w:t>1</w:t>
            </w:r>
            <w:r w:rsidR="00A547CB" w:rsidRPr="00A547CB">
              <w:rPr>
                <w:rFonts w:ascii="Palatino Linotype" w:hAnsi="Palatino Linotype"/>
                <w:sz w:val="18"/>
                <w:szCs w:val="18"/>
              </w:rPr>
              <w:t>0</w:t>
            </w:r>
            <w:r w:rsidR="003B3F49" w:rsidRPr="003B3F49">
              <w:rPr>
                <w:rFonts w:ascii="Palatino Linotype" w:hAnsi="Palatino Linotype"/>
                <w:sz w:val="18"/>
                <w:szCs w:val="18"/>
              </w:rPr>
              <w:t xml:space="preserve"> </w:t>
            </w:r>
            <w:r w:rsidRPr="003B3F49">
              <w:rPr>
                <w:rFonts w:ascii="Palatino Linotype" w:hAnsi="Palatino Linotype"/>
                <w:sz w:val="18"/>
                <w:szCs w:val="18"/>
              </w:rPr>
              <w:t xml:space="preserve">ust. 1 </w:t>
            </w:r>
            <w:r w:rsidR="00A547CB" w:rsidRPr="00A547CB">
              <w:rPr>
                <w:rFonts w:ascii="Palatino Linotype" w:hAnsi="Palatino Linotype"/>
                <w:sz w:val="18"/>
                <w:szCs w:val="18"/>
              </w:rPr>
              <w:t>umowy deweloperskiej</w:t>
            </w:r>
            <w:r w:rsidRPr="003B3F49">
              <w:rPr>
                <w:rFonts w:ascii="Palatino Linotype" w:hAnsi="Palatino Linotype"/>
                <w:sz w:val="18"/>
                <w:szCs w:val="18"/>
              </w:rPr>
              <w:t xml:space="preserve"> Deweloper będzie zobowiązany do zapłaty na rzecz Nabywcy kary umownej równej odsetkom ustawowym liczonym w stosunku rocznym od całkowitej ceny sprzedaży za każdy dzień opóźnienia, która to kara umowna zostanie zapłacona w terminie siedmiu dni od jej naliczenia i wezwania do zapłaty, jednak nie później niż w dniu zawarcia umowy przeniesienia, chyba że przekroczenie terminu spowoduje odstąpienie od umowy przez Nabywcę, wówczas kara umowna płatna będzie wraz ze zwrotem wszelkich wpłaconych przez Nabywcę kwot, w trybie i terminach opisanych w ust. 11.</w:t>
            </w:r>
          </w:p>
          <w:p w14:paraId="09EE9593" w14:textId="77777777" w:rsidR="006C336E" w:rsidRPr="00176456" w:rsidRDefault="006C336E" w:rsidP="00C53FB7">
            <w:pPr>
              <w:pStyle w:val="Akapitzlist"/>
              <w:numPr>
                <w:ilvl w:val="0"/>
                <w:numId w:val="5"/>
              </w:numPr>
              <w:tabs>
                <w:tab w:val="right" w:leader="hyphen" w:pos="9080"/>
              </w:tabs>
              <w:ind w:left="472" w:hanging="425"/>
              <w:jc w:val="both"/>
              <w:rPr>
                <w:rFonts w:ascii="Palatino Linotype" w:hAnsi="Palatino Linotype"/>
                <w:sz w:val="18"/>
                <w:szCs w:val="18"/>
              </w:rPr>
            </w:pPr>
            <w:r w:rsidRPr="003B3F49">
              <w:rPr>
                <w:rFonts w:ascii="Palatino Linotype" w:hAnsi="Palatino Linotype"/>
                <w:sz w:val="18"/>
                <w:szCs w:val="18"/>
              </w:rPr>
              <w:t xml:space="preserve">[Kary umowne] W przypadku, gdy Deweloper odstępuje od umowy z tej przyczyny, że Nabywca nie stawia się do odbioru Lokalu lub nie stawia się do podpisania aktu notarialnego przenoszącego na Nabywcę prawa wynikające z umowy deweloperskiej (art. 43 ust. 8 Nowej Ustawy Deweloperskiej), Nabywca będzie zobowiązany do zapłaty na rzecz Dewelopera kary umownej, równej odsetkom ustawowym liczonym w stosunku rocznym od całkowitej ceny sprzedaży za każdy </w:t>
            </w:r>
            <w:r w:rsidRPr="003B3F49">
              <w:rPr>
                <w:rFonts w:ascii="Palatino Linotype" w:hAnsi="Palatino Linotype"/>
                <w:sz w:val="18"/>
                <w:szCs w:val="18"/>
              </w:rPr>
              <w:lastRenderedPageBreak/>
              <w:t>dzień opóźnienia, która to kara umowna zostanie zapłacona w terminie siedmiu dni od jej naliczenia i wezwania do zapłaty, jednak nie później niż w dniu zawarcia umowy przeniesienia własności lokalu lub która może być potrącona w przypadku odstąpienia od umowy przez Dewelopera z winy Nabywcy z wpłaconych przez Nabywcę na otwarty mieszkaniowy rachunek powierniczy kwot i następnie wypłaconych z tego rachunku Deweloperowi przez bank, na co Nabywca wyraża zgodę.</w:t>
            </w:r>
          </w:p>
        </w:tc>
      </w:tr>
      <w:tr w:rsidR="006C336E" w14:paraId="7BF54B30" w14:textId="77777777" w:rsidTr="00BD3DE0">
        <w:trPr>
          <w:trHeight w:val="612"/>
        </w:trPr>
        <w:tc>
          <w:tcPr>
            <w:tcW w:w="10123" w:type="dxa"/>
            <w:gridSpan w:val="7"/>
            <w:shd w:val="clear" w:color="auto" w:fill="BFBFBF"/>
          </w:tcPr>
          <w:p w14:paraId="3A62D0E9" w14:textId="77777777" w:rsidR="006C336E" w:rsidRDefault="006C336E" w:rsidP="00C53FB7">
            <w:pPr>
              <w:pBdr>
                <w:top w:val="nil"/>
                <w:left w:val="nil"/>
                <w:bottom w:val="nil"/>
                <w:right w:val="nil"/>
                <w:between w:val="nil"/>
              </w:pBdr>
              <w:spacing w:before="120" w:after="200" w:line="276" w:lineRule="auto"/>
              <w:jc w:val="both"/>
              <w:rPr>
                <w:rFonts w:ascii="Lato" w:eastAsia="Lato" w:hAnsi="Lato" w:cs="Lato"/>
                <w:b/>
                <w:color w:val="000000"/>
              </w:rPr>
            </w:pPr>
            <w:r>
              <w:rPr>
                <w:rFonts w:ascii="Lato" w:eastAsia="Lato" w:hAnsi="Lato" w:cs="Lato"/>
                <w:b/>
                <w:color w:val="000000"/>
              </w:rPr>
              <w:lastRenderedPageBreak/>
              <w:t>INNE INFORMACJE</w:t>
            </w:r>
          </w:p>
        </w:tc>
      </w:tr>
      <w:tr w:rsidR="006C336E" w14:paraId="00D17F25" w14:textId="77777777" w:rsidTr="00BD3DE0">
        <w:trPr>
          <w:trHeight w:val="612"/>
        </w:trPr>
        <w:tc>
          <w:tcPr>
            <w:tcW w:w="10123" w:type="dxa"/>
            <w:gridSpan w:val="7"/>
            <w:tcBorders>
              <w:bottom w:val="nil"/>
            </w:tcBorders>
            <w:shd w:val="clear" w:color="auto" w:fill="D9D9D9"/>
          </w:tcPr>
          <w:p w14:paraId="0C527AC2" w14:textId="77777777" w:rsidR="00B116AC" w:rsidRDefault="00B116AC" w:rsidP="00B116AC">
            <w:pPr>
              <w:pStyle w:val="Default"/>
              <w:jc w:val="both"/>
              <w:rPr>
                <w:sz w:val="20"/>
                <w:szCs w:val="20"/>
              </w:rPr>
            </w:pPr>
            <w:r>
              <w:rPr>
                <w:sz w:val="20"/>
                <w:szCs w:val="20"/>
              </w:rPr>
              <w:t xml:space="preserve">I. Informacja o: </w:t>
            </w:r>
          </w:p>
          <w:p w14:paraId="533C23F1" w14:textId="77777777" w:rsidR="00B116AC" w:rsidRDefault="00B116AC" w:rsidP="00B116AC">
            <w:pPr>
              <w:pStyle w:val="Default"/>
              <w:jc w:val="both"/>
              <w:rPr>
                <w:sz w:val="20"/>
                <w:szCs w:val="20"/>
              </w:rPr>
            </w:pPr>
            <w:r>
              <w:rPr>
                <w:sz w:val="20"/>
                <w:szCs w:val="20"/>
              </w:rPr>
              <w:t xml:space="preserve">1) zgodzie banku lub innego wierzyciela hipotecznego na </w:t>
            </w:r>
            <w:proofErr w:type="spellStart"/>
            <w:r>
              <w:rPr>
                <w:sz w:val="20"/>
                <w:szCs w:val="20"/>
              </w:rPr>
              <w:t>bezobciążeniowe</w:t>
            </w:r>
            <w:proofErr w:type="spellEnd"/>
            <w:r>
              <w:rPr>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Pr>
                <w:sz w:val="20"/>
                <w:szCs w:val="20"/>
              </w:rPr>
              <w:t>bezobciążeniowe</w:t>
            </w:r>
            <w:proofErr w:type="spellEnd"/>
            <w:r>
              <w:rPr>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w:t>
            </w:r>
            <w:proofErr w:type="spellStart"/>
            <w:r>
              <w:rPr>
                <w:sz w:val="20"/>
                <w:szCs w:val="20"/>
              </w:rPr>
              <w:t>nia</w:t>
            </w:r>
            <w:proofErr w:type="spellEnd"/>
            <w:r>
              <w:rPr>
                <w:sz w:val="20"/>
                <w:szCs w:val="20"/>
              </w:rPr>
              <w:t xml:space="preserve"> z części nieruchomości służącej zaspokajaniu potrzeb mieszkaniowych po wpłacie pełnej ceny przez nabywcę lub zobowiązaniu do jej udzielenia, jeżeli takie obciążenie istnieje; </w:t>
            </w:r>
          </w:p>
          <w:p w14:paraId="453BA89F" w14:textId="77777777" w:rsidR="00B116AC" w:rsidRDefault="00B116AC" w:rsidP="00B116AC">
            <w:pPr>
              <w:pBdr>
                <w:top w:val="nil"/>
                <w:left w:val="nil"/>
                <w:bottom w:val="nil"/>
                <w:right w:val="nil"/>
                <w:between w:val="nil"/>
              </w:pBdr>
              <w:spacing w:before="30" w:after="200" w:line="276" w:lineRule="auto"/>
              <w:jc w:val="both"/>
              <w:rPr>
                <w:sz w:val="20"/>
                <w:szCs w:val="20"/>
              </w:rPr>
            </w:pPr>
            <w:r>
              <w:rPr>
                <w:sz w:val="20"/>
                <w:szCs w:val="20"/>
              </w:rPr>
              <w:t xml:space="preserve">2) w przypadku umów, o których mowa w art. 2 ust. 2 ustawy z dnia 20 maja 2021 r. o ochronie praw nabywcy lokalu mieszkalnego lub domu jednorodzinnego oraz Deweloperskim Funduszu Gwarancyjnym, o zgodzie banku lub innego wierzyciela hipotecznego na </w:t>
            </w:r>
            <w:proofErr w:type="spellStart"/>
            <w:r>
              <w:rPr>
                <w:sz w:val="20"/>
                <w:szCs w:val="20"/>
              </w:rPr>
              <w:t>bezobciążeniowe</w:t>
            </w:r>
            <w:proofErr w:type="spellEnd"/>
            <w:r>
              <w:rPr>
                <w:sz w:val="20"/>
                <w:szCs w:val="20"/>
              </w:rPr>
              <w:t xml:space="preserve"> przeniesienie własności lokalu użytkowego na nabywcę po wpłacie pełnej ceny przez nabywcę lub zobowiązaniu do udzielenia takiej zgody, jeżeli takie obciążenie istnieje, albo zgodzie banku lub innego wierzyciela hipotecznego na </w:t>
            </w:r>
            <w:proofErr w:type="spellStart"/>
            <w:r>
              <w:rPr>
                <w:sz w:val="20"/>
                <w:szCs w:val="20"/>
              </w:rPr>
              <w:t>bezobciążeniowe</w:t>
            </w:r>
            <w:proofErr w:type="spellEnd"/>
            <w:r>
              <w:rPr>
                <w:sz w:val="20"/>
                <w:szCs w:val="20"/>
              </w:rPr>
              <w:t xml:space="preserve"> przeniesienie na nabywcę ułamkowej części własności lokalu użytkowego po wpłacie pełnej ceny przez nabywcę lub zobowiązaniu do udzielenia takiej zgody, jeżeli takie obciążenie istnieje. </w:t>
            </w:r>
          </w:p>
          <w:p w14:paraId="1CC0ADF6" w14:textId="77777777" w:rsidR="00B116AC" w:rsidRDefault="00B116AC" w:rsidP="00B116AC">
            <w:pPr>
              <w:pStyle w:val="Default"/>
              <w:jc w:val="both"/>
              <w:rPr>
                <w:sz w:val="20"/>
                <w:szCs w:val="20"/>
              </w:rPr>
            </w:pPr>
            <w:r>
              <w:rPr>
                <w:sz w:val="20"/>
                <w:szCs w:val="20"/>
              </w:rPr>
              <w:t xml:space="preserve">II. Informacja o możliwości zapoznania się w lokalu przedsiębiorstwa przez osobę zainteresowaną zawarciem </w:t>
            </w:r>
            <w:proofErr w:type="spellStart"/>
            <w:r>
              <w:rPr>
                <w:sz w:val="20"/>
                <w:szCs w:val="20"/>
              </w:rPr>
              <w:t>umo</w:t>
            </w:r>
            <w:proofErr w:type="spellEnd"/>
            <w:r>
              <w:rPr>
                <w:sz w:val="20"/>
                <w:szCs w:val="20"/>
              </w:rPr>
              <w:t xml:space="preserve">-wy odpowiednio do zakresu umowy z: </w:t>
            </w:r>
          </w:p>
          <w:p w14:paraId="26DE73CF" w14:textId="77777777" w:rsidR="00B116AC" w:rsidRDefault="00B116AC" w:rsidP="00B116AC">
            <w:pPr>
              <w:pStyle w:val="Default"/>
              <w:jc w:val="both"/>
              <w:rPr>
                <w:sz w:val="20"/>
                <w:szCs w:val="20"/>
              </w:rPr>
            </w:pPr>
            <w:r>
              <w:rPr>
                <w:sz w:val="20"/>
                <w:szCs w:val="20"/>
              </w:rPr>
              <w:t xml:space="preserve">1) aktualnym stanem księgi wieczystej prowadzonej dla nieruchomości; </w:t>
            </w:r>
          </w:p>
          <w:p w14:paraId="3F0DA3F1" w14:textId="77777777" w:rsidR="00B116AC" w:rsidRDefault="00B116AC" w:rsidP="00B116AC">
            <w:pPr>
              <w:pStyle w:val="Default"/>
              <w:jc w:val="both"/>
              <w:rPr>
                <w:sz w:val="20"/>
                <w:szCs w:val="20"/>
              </w:rPr>
            </w:pPr>
            <w:r>
              <w:rPr>
                <w:sz w:val="20"/>
                <w:szCs w:val="20"/>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095722EE" w14:textId="77777777" w:rsidR="00B116AC" w:rsidRDefault="00B116AC" w:rsidP="00B116AC">
            <w:pPr>
              <w:pStyle w:val="Default"/>
              <w:jc w:val="both"/>
              <w:rPr>
                <w:sz w:val="20"/>
                <w:szCs w:val="20"/>
              </w:rPr>
            </w:pPr>
            <w:r>
              <w:rPr>
                <w:sz w:val="20"/>
                <w:szCs w:val="20"/>
              </w:rPr>
              <w:t xml:space="preserve">3) pozwoleniem na budowę albo zgłoszeniem budowy, o którym mowa w art. 29 ust. 1 pkt 1 ustawy z dnia 7 lipca 1994 r. – Prawo budowlane, do którego organ administracji architektoniczno-budowlanej nie wniósł sprzeciwu; </w:t>
            </w:r>
          </w:p>
          <w:p w14:paraId="6EE3B7C9" w14:textId="77777777" w:rsidR="00B116AC" w:rsidRDefault="00B116AC" w:rsidP="00B116AC">
            <w:pPr>
              <w:pStyle w:val="Default"/>
              <w:jc w:val="both"/>
              <w:rPr>
                <w:sz w:val="20"/>
                <w:szCs w:val="20"/>
              </w:rPr>
            </w:pPr>
            <w:r>
              <w:rPr>
                <w:sz w:val="20"/>
                <w:szCs w:val="20"/>
              </w:rPr>
              <w:t xml:space="preserve">4) sprawozdaniem finansowym dewelopera za ostatnie dwa lata, a w przypadku: </w:t>
            </w:r>
          </w:p>
          <w:p w14:paraId="310E841F" w14:textId="77777777" w:rsidR="00B116AC" w:rsidRDefault="00B116AC" w:rsidP="00B116AC">
            <w:pPr>
              <w:pStyle w:val="Default"/>
              <w:jc w:val="both"/>
              <w:rPr>
                <w:sz w:val="20"/>
                <w:szCs w:val="20"/>
              </w:rPr>
            </w:pPr>
            <w:r>
              <w:rPr>
                <w:sz w:val="20"/>
                <w:szCs w:val="20"/>
              </w:rPr>
              <w:t xml:space="preserve">a) prowadzenia działalności przez okres krótszy niż dwa lata – sprawozdaniem finansowym za okres ostatniego roku, </w:t>
            </w:r>
          </w:p>
          <w:p w14:paraId="14EF5488" w14:textId="77777777" w:rsidR="00B116AC" w:rsidRDefault="00B116AC" w:rsidP="00B116AC">
            <w:pPr>
              <w:pStyle w:val="Default"/>
              <w:jc w:val="both"/>
              <w:rPr>
                <w:sz w:val="20"/>
                <w:szCs w:val="20"/>
              </w:rPr>
            </w:pPr>
            <w:r>
              <w:rPr>
                <w:sz w:val="20"/>
                <w:szCs w:val="20"/>
              </w:rPr>
              <w:t xml:space="preserve">b) realizacji inwestycji przez spółkę celową – sprawozdaniem spółki dominującej oraz spółki celowej; </w:t>
            </w:r>
          </w:p>
          <w:p w14:paraId="3C8AB2E2" w14:textId="77777777" w:rsidR="00B116AC" w:rsidRDefault="00B116AC" w:rsidP="00B116AC">
            <w:pPr>
              <w:pStyle w:val="Default"/>
              <w:jc w:val="both"/>
              <w:rPr>
                <w:sz w:val="20"/>
                <w:szCs w:val="20"/>
              </w:rPr>
            </w:pPr>
            <w:r>
              <w:rPr>
                <w:sz w:val="20"/>
                <w:szCs w:val="20"/>
              </w:rPr>
              <w:t xml:space="preserve">5) projektem budowlanym; </w:t>
            </w:r>
          </w:p>
          <w:p w14:paraId="2FFD5AE6" w14:textId="77777777" w:rsidR="00B116AC" w:rsidRPr="006E3892" w:rsidRDefault="00A547CB" w:rsidP="00B116AC">
            <w:pPr>
              <w:pStyle w:val="Default"/>
              <w:jc w:val="both"/>
              <w:rPr>
                <w:strike/>
                <w:sz w:val="20"/>
                <w:szCs w:val="20"/>
              </w:rPr>
            </w:pPr>
            <w:r w:rsidRPr="00A547CB">
              <w:rPr>
                <w:strike/>
                <w:sz w:val="20"/>
                <w:szCs w:val="20"/>
              </w:rPr>
              <w:t xml:space="preserve">6) decyzją o pozwoleniu na użytkowanie budynku lub zawiadomieniem o zakończeniu budowy, do którego organ nadzoru budowlanego nie wniósł sprzeciwu; </w:t>
            </w:r>
          </w:p>
          <w:p w14:paraId="2594F862" w14:textId="77777777" w:rsidR="00B116AC" w:rsidRPr="006E3892" w:rsidRDefault="00A547CB" w:rsidP="00B116AC">
            <w:pPr>
              <w:pStyle w:val="Default"/>
              <w:jc w:val="both"/>
              <w:rPr>
                <w:strike/>
                <w:sz w:val="20"/>
                <w:szCs w:val="20"/>
              </w:rPr>
            </w:pPr>
            <w:r w:rsidRPr="00A547CB">
              <w:rPr>
                <w:strike/>
                <w:sz w:val="20"/>
                <w:szCs w:val="20"/>
              </w:rPr>
              <w:t xml:space="preserve">7) zaświadczeniem o samodzielności lokalu; </w:t>
            </w:r>
          </w:p>
          <w:p w14:paraId="5F097E5F" w14:textId="77777777" w:rsidR="00B116AC" w:rsidRPr="006E3892" w:rsidRDefault="00A547CB" w:rsidP="00B116AC">
            <w:pPr>
              <w:pBdr>
                <w:top w:val="nil"/>
                <w:left w:val="nil"/>
                <w:bottom w:val="nil"/>
                <w:right w:val="nil"/>
                <w:between w:val="nil"/>
              </w:pBdr>
              <w:spacing w:before="30" w:after="200" w:line="276" w:lineRule="auto"/>
              <w:jc w:val="both"/>
              <w:rPr>
                <w:strike/>
                <w:sz w:val="20"/>
                <w:szCs w:val="20"/>
              </w:rPr>
            </w:pPr>
            <w:r w:rsidRPr="00A547CB">
              <w:rPr>
                <w:strike/>
                <w:sz w:val="20"/>
                <w:szCs w:val="20"/>
              </w:rPr>
              <w:t xml:space="preserve">8) aktem ustanowienia odrębnej własności lokalu; </w:t>
            </w:r>
          </w:p>
          <w:p w14:paraId="0A41FA40" w14:textId="77777777" w:rsidR="00A25A11" w:rsidRDefault="00B116AC">
            <w:pPr>
              <w:pBdr>
                <w:top w:val="nil"/>
                <w:left w:val="nil"/>
                <w:bottom w:val="nil"/>
                <w:right w:val="nil"/>
                <w:between w:val="nil"/>
              </w:pBdr>
              <w:spacing w:before="30"/>
              <w:jc w:val="both"/>
              <w:rPr>
                <w:sz w:val="20"/>
                <w:szCs w:val="20"/>
              </w:rPr>
            </w:pPr>
            <w:r>
              <w:rPr>
                <w:sz w:val="20"/>
                <w:szCs w:val="20"/>
              </w:rPr>
              <w:t xml:space="preserve">9) dokumentem potwierdzającym: </w:t>
            </w:r>
          </w:p>
          <w:p w14:paraId="202A26C5" w14:textId="77777777" w:rsidR="00B116AC" w:rsidRDefault="00B116AC" w:rsidP="00B116AC">
            <w:pPr>
              <w:pStyle w:val="Default"/>
              <w:jc w:val="both"/>
              <w:rPr>
                <w:sz w:val="20"/>
                <w:szCs w:val="20"/>
              </w:rPr>
            </w:pPr>
            <w:r>
              <w:rPr>
                <w:sz w:val="20"/>
                <w:szCs w:val="20"/>
              </w:rPr>
              <w:t xml:space="preserve">a) zgodę banku lub innego wierzyciela hipotecznego na </w:t>
            </w:r>
            <w:proofErr w:type="spellStart"/>
            <w:r>
              <w:rPr>
                <w:sz w:val="20"/>
                <w:szCs w:val="20"/>
              </w:rPr>
              <w:t>bezobciążeniowe</w:t>
            </w:r>
            <w:proofErr w:type="spellEnd"/>
            <w:r>
              <w:rPr>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proofErr w:type="spellStart"/>
            <w:r>
              <w:rPr>
                <w:sz w:val="20"/>
                <w:szCs w:val="20"/>
              </w:rPr>
              <w:t>bezobciążeniowe</w:t>
            </w:r>
            <w:proofErr w:type="spellEnd"/>
            <w:r>
              <w:rPr>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w:t>
            </w:r>
            <w:proofErr w:type="spellStart"/>
            <w:r>
              <w:rPr>
                <w:sz w:val="20"/>
                <w:szCs w:val="20"/>
              </w:rPr>
              <w:t>niu</w:t>
            </w:r>
            <w:proofErr w:type="spellEnd"/>
            <w:r>
              <w:rPr>
                <w:sz w:val="20"/>
                <w:szCs w:val="20"/>
              </w:rPr>
              <w:t xml:space="preserve"> potrzeb mieszkaniowych po wpłacie pełnej ceny przez nabywcę lub zobowiązanie do jej udzielenia, jeżeli takie obciążenie istnieje, </w:t>
            </w:r>
          </w:p>
          <w:p w14:paraId="0C1E0BEA" w14:textId="77777777" w:rsidR="00B116AC" w:rsidRDefault="00B116AC" w:rsidP="00B116AC">
            <w:pPr>
              <w:pBdr>
                <w:top w:val="nil"/>
                <w:left w:val="nil"/>
                <w:bottom w:val="nil"/>
                <w:right w:val="nil"/>
                <w:between w:val="nil"/>
              </w:pBdr>
              <w:spacing w:before="30" w:after="200" w:line="276" w:lineRule="auto"/>
              <w:jc w:val="both"/>
              <w:rPr>
                <w:sz w:val="20"/>
                <w:szCs w:val="20"/>
              </w:rPr>
            </w:pPr>
            <w:r>
              <w:rPr>
                <w:sz w:val="20"/>
                <w:szCs w:val="20"/>
              </w:rPr>
              <w:t>b) w przypadku umów, o których mowa w art. 2 ust. 2 ustawy z dnia 20 maja 2021 r. o ochronie praw na-</w:t>
            </w:r>
            <w:proofErr w:type="spellStart"/>
            <w:r>
              <w:rPr>
                <w:sz w:val="20"/>
                <w:szCs w:val="20"/>
              </w:rPr>
              <w:t>bywcy</w:t>
            </w:r>
            <w:proofErr w:type="spellEnd"/>
            <w:r>
              <w:rPr>
                <w:sz w:val="20"/>
                <w:szCs w:val="20"/>
              </w:rPr>
              <w:t xml:space="preserve"> lokalu mieszkalnego lub domu jednorodzinnego oraz Deweloperskim Funduszu Gwarancyjnym, zgodę banku lub innego wierzyciela hipotecznego na </w:t>
            </w:r>
            <w:proofErr w:type="spellStart"/>
            <w:r>
              <w:rPr>
                <w:sz w:val="20"/>
                <w:szCs w:val="20"/>
              </w:rPr>
              <w:t>bezobciążeniowe</w:t>
            </w:r>
            <w:proofErr w:type="spellEnd"/>
            <w:r>
              <w:rPr>
                <w:sz w:val="20"/>
                <w:szCs w:val="20"/>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Pr>
                <w:sz w:val="20"/>
                <w:szCs w:val="20"/>
              </w:rPr>
              <w:t>bezobciążeniowe</w:t>
            </w:r>
            <w:proofErr w:type="spellEnd"/>
            <w:r>
              <w:rPr>
                <w:sz w:val="20"/>
                <w:szCs w:val="20"/>
              </w:rPr>
              <w:t xml:space="preserve"> przeniesienie na nabywcę ułamkowej części własności lokalu </w:t>
            </w:r>
            <w:r>
              <w:rPr>
                <w:sz w:val="20"/>
                <w:szCs w:val="20"/>
              </w:rPr>
              <w:lastRenderedPageBreak/>
              <w:t xml:space="preserve">użytkowego po wpłacie pełnej ceny przez nabywcę lub zobowiązanie do udzielenia takiej zgody, jeżeli takie obciążenie istnieje. </w:t>
            </w:r>
          </w:p>
          <w:p w14:paraId="77BBDA42" w14:textId="77777777" w:rsidR="002B14CD" w:rsidRDefault="002B14CD" w:rsidP="00B116AC">
            <w:pPr>
              <w:pBdr>
                <w:top w:val="nil"/>
                <w:left w:val="nil"/>
                <w:bottom w:val="nil"/>
                <w:right w:val="nil"/>
                <w:between w:val="nil"/>
              </w:pBdr>
              <w:spacing w:before="30" w:after="200" w:line="276" w:lineRule="auto"/>
              <w:jc w:val="both"/>
              <w:rPr>
                <w:sz w:val="20"/>
                <w:szCs w:val="20"/>
              </w:rPr>
            </w:pPr>
          </w:p>
          <w:p w14:paraId="7CB11666" w14:textId="77777777" w:rsidR="002B14CD" w:rsidRPr="00B116AC" w:rsidRDefault="002B14CD" w:rsidP="00B116AC">
            <w:pPr>
              <w:pBdr>
                <w:top w:val="nil"/>
                <w:left w:val="nil"/>
                <w:bottom w:val="nil"/>
                <w:right w:val="nil"/>
                <w:between w:val="nil"/>
              </w:pBdr>
              <w:spacing w:before="30" w:after="200" w:line="276" w:lineRule="auto"/>
              <w:jc w:val="both"/>
              <w:rPr>
                <w:sz w:val="20"/>
                <w:szCs w:val="20"/>
              </w:rPr>
            </w:pPr>
            <w:r>
              <w:rPr>
                <w:rFonts w:ascii="Lato" w:eastAsia="Lato" w:hAnsi="Lato" w:cs="Lato"/>
                <w:color w:val="000000"/>
              </w:rPr>
              <w:t>Deweloper informuje o możliwości zapoznania się z ww. dokumentami w siedzibie Dewelopera lub biurze sprzedaży.</w:t>
            </w:r>
          </w:p>
          <w:p w14:paraId="30B55425" w14:textId="77777777" w:rsidR="00B116AC" w:rsidRDefault="00B116AC" w:rsidP="00B116AC">
            <w:pPr>
              <w:pStyle w:val="Default"/>
              <w:jc w:val="both"/>
              <w:rPr>
                <w:sz w:val="20"/>
                <w:szCs w:val="20"/>
              </w:rPr>
            </w:pPr>
            <w:r>
              <w:rPr>
                <w:sz w:val="20"/>
                <w:szCs w:val="20"/>
              </w:rPr>
              <w:t xml:space="preserve">III. Informacja: </w:t>
            </w:r>
          </w:p>
          <w:p w14:paraId="3769EA7B" w14:textId="77777777" w:rsidR="00B116AC" w:rsidRDefault="00B116AC" w:rsidP="00B116AC">
            <w:pPr>
              <w:pStyle w:val="Default"/>
              <w:jc w:val="both"/>
              <w:rPr>
                <w:sz w:val="20"/>
                <w:szCs w:val="20"/>
              </w:rPr>
            </w:pPr>
            <w:r>
              <w:rPr>
                <w:sz w:val="20"/>
                <w:szCs w:val="20"/>
              </w:rPr>
              <w:t>Środki pieniężne zgromadzone w</w:t>
            </w:r>
            <w:r w:rsidR="00B827D8">
              <w:rPr>
                <w:sz w:val="20"/>
                <w:szCs w:val="20"/>
              </w:rPr>
              <w:t xml:space="preserve"> SGB-Banku S.A.</w:t>
            </w:r>
            <w:r>
              <w:rPr>
                <w:sz w:val="20"/>
                <w:szCs w:val="20"/>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w:t>
            </w:r>
            <w:proofErr w:type="spellStart"/>
            <w:r>
              <w:rPr>
                <w:sz w:val="20"/>
                <w:szCs w:val="20"/>
              </w:rPr>
              <w:t>restruktury-zacji</w:t>
            </w:r>
            <w:proofErr w:type="spellEnd"/>
            <w:r>
              <w:rPr>
                <w:sz w:val="20"/>
                <w:szCs w:val="20"/>
              </w:rPr>
              <w:t xml:space="preserve"> (Dz. U. z 2020 r. poz. 842 oraz z 2021 r. poz. 680 i 1177). </w:t>
            </w:r>
          </w:p>
          <w:p w14:paraId="75553EC2" w14:textId="77777777" w:rsidR="00B116AC" w:rsidRDefault="00B116AC" w:rsidP="00B116AC">
            <w:pPr>
              <w:pStyle w:val="Default"/>
              <w:jc w:val="both"/>
              <w:rPr>
                <w:sz w:val="20"/>
                <w:szCs w:val="20"/>
              </w:rPr>
            </w:pPr>
            <w:r>
              <w:rPr>
                <w:sz w:val="20"/>
                <w:szCs w:val="20"/>
              </w:rPr>
              <w:t xml:space="preserve">Informacje podstawowe o obowiązkowym systemie gwarantowania depozytów: </w:t>
            </w:r>
          </w:p>
          <w:p w14:paraId="62557CA7" w14:textId="77777777" w:rsidR="00B116AC" w:rsidRDefault="00B116AC" w:rsidP="00B116AC">
            <w:pPr>
              <w:pStyle w:val="Default"/>
              <w:jc w:val="both"/>
              <w:rPr>
                <w:sz w:val="20"/>
                <w:szCs w:val="20"/>
              </w:rPr>
            </w:pPr>
            <w:r>
              <w:rPr>
                <w:sz w:val="20"/>
                <w:szCs w:val="20"/>
              </w:rPr>
              <w:t xml:space="preserve">– ochrona środków dotyczy sytuacji spełnienia warunku gwarancji wobec </w:t>
            </w:r>
            <w:r w:rsidR="00CA6022">
              <w:rPr>
                <w:sz w:val="20"/>
                <w:szCs w:val="20"/>
              </w:rPr>
              <w:t>SGB-Bank S.A.</w:t>
            </w:r>
            <w:r>
              <w:rPr>
                <w:sz w:val="20"/>
                <w:szCs w:val="20"/>
              </w:rPr>
              <w:t xml:space="preserve"> </w:t>
            </w:r>
          </w:p>
          <w:p w14:paraId="049C0D54" w14:textId="77777777" w:rsidR="00B116AC" w:rsidRDefault="00B116AC" w:rsidP="00B116AC">
            <w:pPr>
              <w:pStyle w:val="Default"/>
              <w:jc w:val="both"/>
              <w:rPr>
                <w:sz w:val="20"/>
                <w:szCs w:val="20"/>
              </w:rPr>
            </w:pPr>
            <w:r>
              <w:rPr>
                <w:sz w:val="20"/>
                <w:szCs w:val="20"/>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71B81040" w14:textId="77777777" w:rsidR="00B116AC" w:rsidRDefault="00B116AC" w:rsidP="00B116AC">
            <w:pPr>
              <w:pStyle w:val="Default"/>
              <w:jc w:val="both"/>
              <w:rPr>
                <w:sz w:val="20"/>
                <w:szCs w:val="20"/>
              </w:rPr>
            </w:pPr>
            <w:r>
              <w:rPr>
                <w:sz w:val="20"/>
                <w:szCs w:val="20"/>
              </w:rPr>
              <w:t xml:space="preserve">– limit gwarancyjny przypadający na jednego deponenta to równowartość w złotych 100 000 euro; w przypadkach określonych w art. 24 ust. 3 i 4 ustawy z dnia 10 czerwca 2016 r. o Bankowym Funduszu Gwarancyjnym, </w:t>
            </w:r>
            <w:proofErr w:type="spellStart"/>
            <w:r>
              <w:rPr>
                <w:sz w:val="20"/>
                <w:szCs w:val="20"/>
              </w:rPr>
              <w:t>syste-mie</w:t>
            </w:r>
            <w:proofErr w:type="spellEnd"/>
            <w:r>
              <w:rPr>
                <w:sz w:val="20"/>
                <w:szCs w:val="20"/>
              </w:rPr>
              <w:t xml:space="preserve"> gwarantowania depozytów oraz przymusowej restrukturyzacji, środki deponenta, w terminie 3 miesięcy od dnia ich wpływu na rachunek, objęte są gwarancjami ponad równowartość w złotych 100 000 euro, </w:t>
            </w:r>
          </w:p>
          <w:p w14:paraId="3D54650E" w14:textId="77777777" w:rsidR="00B116AC" w:rsidRDefault="00B116AC" w:rsidP="00B116AC">
            <w:pPr>
              <w:pStyle w:val="Default"/>
              <w:jc w:val="both"/>
              <w:rPr>
                <w:sz w:val="20"/>
                <w:szCs w:val="20"/>
              </w:rPr>
            </w:pPr>
            <w:r>
              <w:rPr>
                <w:sz w:val="20"/>
                <w:szCs w:val="20"/>
              </w:rPr>
              <w:t>– podstawą wyliczenia kwoty środków gwarantowanych należnej deponentowi jest suma wszystkich podlegają-</w:t>
            </w:r>
            <w:proofErr w:type="spellStart"/>
            <w:r>
              <w:rPr>
                <w:sz w:val="20"/>
                <w:szCs w:val="20"/>
              </w:rPr>
              <w:t>cych</w:t>
            </w:r>
            <w:proofErr w:type="spellEnd"/>
            <w:r>
              <w:rPr>
                <w:sz w:val="20"/>
                <w:szCs w:val="20"/>
              </w:rPr>
              <w:t xml:space="preserve"> ochronie należności tego deponenta od banku, w tym należności z tytułu środków zgromadzonych na jego rachunkach osobistych i z tytułu jego udziału w środkach zgromadzonych na rachunku powierniczym, </w:t>
            </w:r>
          </w:p>
          <w:p w14:paraId="69B5A306" w14:textId="77777777" w:rsidR="00B116AC" w:rsidRDefault="00B116AC" w:rsidP="00B116AC">
            <w:pPr>
              <w:pStyle w:val="Default"/>
              <w:jc w:val="both"/>
              <w:rPr>
                <w:sz w:val="20"/>
                <w:szCs w:val="20"/>
              </w:rPr>
            </w:pPr>
            <w:r>
              <w:rPr>
                <w:sz w:val="20"/>
                <w:szCs w:val="20"/>
              </w:rPr>
              <w:t xml:space="preserve">– wypłata środków gwarantowanych – co do zasady – następuje w terminie 7 dni roboczych od dnia spełnienia warunku gwarancji wobec banku, </w:t>
            </w:r>
          </w:p>
          <w:p w14:paraId="783C0E51" w14:textId="77777777" w:rsidR="00B116AC" w:rsidRPr="00B827D8" w:rsidRDefault="00B116AC" w:rsidP="00B116AC">
            <w:pPr>
              <w:pStyle w:val="Default"/>
              <w:jc w:val="both"/>
              <w:rPr>
                <w:sz w:val="20"/>
                <w:szCs w:val="20"/>
              </w:rPr>
            </w:pPr>
            <w:r w:rsidRPr="00B827D8">
              <w:rPr>
                <w:sz w:val="20"/>
                <w:szCs w:val="20"/>
              </w:rPr>
              <w:t xml:space="preserve">– wypłata środków gwarantowanych jest dokonywana w złotych, </w:t>
            </w:r>
          </w:p>
          <w:p w14:paraId="32FE4445" w14:textId="77777777" w:rsidR="002B14CD" w:rsidRDefault="00B116AC" w:rsidP="00B116AC">
            <w:pPr>
              <w:pStyle w:val="Default"/>
              <w:jc w:val="both"/>
              <w:rPr>
                <w:sz w:val="20"/>
                <w:szCs w:val="20"/>
              </w:rPr>
            </w:pPr>
            <w:r w:rsidRPr="00B827D8">
              <w:rPr>
                <w:sz w:val="20"/>
                <w:szCs w:val="20"/>
              </w:rPr>
              <w:t xml:space="preserve">– </w:t>
            </w:r>
            <w:r w:rsidR="00A547CB" w:rsidRPr="00A547CB">
              <w:rPr>
                <w:sz w:val="20"/>
                <w:szCs w:val="20"/>
              </w:rPr>
              <w:t>SGB-Bank S.A.</w:t>
            </w:r>
            <w:r w:rsidRPr="00B827D8">
              <w:rPr>
                <w:sz w:val="20"/>
                <w:szCs w:val="20"/>
              </w:rPr>
              <w:t xml:space="preserve"> korzysta także z następujących znaków towarowych:</w:t>
            </w:r>
            <w:r>
              <w:rPr>
                <w:sz w:val="20"/>
                <w:szCs w:val="20"/>
              </w:rPr>
              <w:t xml:space="preserve"> </w:t>
            </w:r>
          </w:p>
          <w:p w14:paraId="5F8DD4DF" w14:textId="77777777" w:rsidR="00A25A11" w:rsidRDefault="00596D88">
            <w:pPr>
              <w:pStyle w:val="Zwykytekst"/>
              <w:jc w:val="left"/>
            </w:pPr>
            <w:r w:rsidRPr="00596D88">
              <w:rPr>
                <w:highlight w:val="yellow"/>
              </w:rPr>
              <w:t>………………………………………………….</w:t>
            </w:r>
          </w:p>
          <w:p w14:paraId="5F2C45A1" w14:textId="77777777" w:rsidR="00B116AC" w:rsidRDefault="00B116AC" w:rsidP="00B116AC">
            <w:pPr>
              <w:pStyle w:val="Default"/>
              <w:jc w:val="both"/>
              <w:rPr>
                <w:sz w:val="20"/>
                <w:szCs w:val="20"/>
              </w:rPr>
            </w:pPr>
            <w:r>
              <w:rPr>
                <w:sz w:val="20"/>
                <w:szCs w:val="20"/>
              </w:rPr>
              <w:t xml:space="preserve">Dalsze informacje na temat systemu gwarantowania depozytów można uzyskać na stronie internetowej Bankowego Funduszu Gwarancyjnego: https://www.bfg.pl/. </w:t>
            </w:r>
          </w:p>
          <w:p w14:paraId="40780A6E" w14:textId="77777777" w:rsidR="00B116AC" w:rsidRDefault="00B116AC" w:rsidP="00B116AC">
            <w:pPr>
              <w:pStyle w:val="Default"/>
              <w:jc w:val="both"/>
              <w:rPr>
                <w:sz w:val="20"/>
                <w:szCs w:val="20"/>
              </w:rPr>
            </w:pPr>
            <w:r>
              <w:rPr>
                <w:sz w:val="20"/>
                <w:szCs w:val="20"/>
              </w:rPr>
              <w:t xml:space="preserve">IV. 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5834E8BD" w14:textId="77777777" w:rsidR="006C336E" w:rsidRDefault="00B116AC" w:rsidP="00C53FB7">
            <w:pPr>
              <w:pBdr>
                <w:top w:val="nil"/>
                <w:left w:val="nil"/>
                <w:bottom w:val="nil"/>
                <w:right w:val="nil"/>
                <w:between w:val="nil"/>
              </w:pBdr>
              <w:spacing w:before="30" w:after="200" w:line="276" w:lineRule="auto"/>
              <w:ind w:left="244" w:right="57" w:hanging="244"/>
              <w:jc w:val="both"/>
              <w:rPr>
                <w:rFonts w:ascii="Lato" w:eastAsia="Lato" w:hAnsi="Lato" w:cs="Lato"/>
                <w:color w:val="000000"/>
              </w:rPr>
            </w:pPr>
            <w:r>
              <w:rPr>
                <w:sz w:val="20"/>
                <w:szCs w:val="20"/>
              </w:rPr>
              <w:t xml:space="preserve">Oddział instytucji kredytowej w rozumieniu art. 4 ust. 1 pkt 18 ustawy z dnia 29 sierpnia 1997 r. – Prawo bankowe jest objęty systemem gwarantowania państwa macierzystego, co oznacza, że nie mają do niego zastosowania </w:t>
            </w:r>
            <w:proofErr w:type="spellStart"/>
            <w:r>
              <w:rPr>
                <w:sz w:val="20"/>
                <w:szCs w:val="20"/>
              </w:rPr>
              <w:t>przepi-sy</w:t>
            </w:r>
            <w:proofErr w:type="spellEnd"/>
            <w:r>
              <w:rPr>
                <w:sz w:val="20"/>
                <w:szCs w:val="20"/>
              </w:rPr>
              <w:t xml:space="preserve"> ustawy z dnia 10 czerwca 2016 r. </w:t>
            </w:r>
          </w:p>
        </w:tc>
      </w:tr>
      <w:tr w:rsidR="006C336E" w14:paraId="33DA41DA" w14:textId="77777777" w:rsidTr="00BD3DE0">
        <w:trPr>
          <w:trHeight w:val="1135"/>
        </w:trPr>
        <w:tc>
          <w:tcPr>
            <w:tcW w:w="10123" w:type="dxa"/>
            <w:gridSpan w:val="7"/>
            <w:tcBorders>
              <w:top w:val="nil"/>
              <w:bottom w:val="single" w:sz="4" w:space="0" w:color="000000"/>
            </w:tcBorders>
            <w:shd w:val="clear" w:color="auto" w:fill="auto"/>
          </w:tcPr>
          <w:p w14:paraId="000751D0"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p>
        </w:tc>
      </w:tr>
      <w:tr w:rsidR="006C336E" w14:paraId="102488EB" w14:textId="77777777" w:rsidTr="00BD3DE0">
        <w:trPr>
          <w:trHeight w:val="612"/>
        </w:trPr>
        <w:tc>
          <w:tcPr>
            <w:tcW w:w="10123" w:type="dxa"/>
            <w:gridSpan w:val="7"/>
            <w:tcBorders>
              <w:top w:val="single" w:sz="4" w:space="0" w:color="000000"/>
              <w:left w:val="nil"/>
              <w:bottom w:val="single" w:sz="4" w:space="0" w:color="000000"/>
              <w:right w:val="nil"/>
            </w:tcBorders>
            <w:shd w:val="clear" w:color="auto" w:fill="auto"/>
          </w:tcPr>
          <w:p w14:paraId="571D0A64" w14:textId="77777777" w:rsidR="006C336E" w:rsidRDefault="006C336E" w:rsidP="00C53FB7">
            <w:pPr>
              <w:pBdr>
                <w:top w:val="nil"/>
                <w:left w:val="nil"/>
                <w:bottom w:val="nil"/>
                <w:right w:val="nil"/>
                <w:between w:val="nil"/>
              </w:pBdr>
              <w:spacing w:before="30" w:after="200" w:line="276" w:lineRule="auto"/>
              <w:jc w:val="left"/>
              <w:rPr>
                <w:rFonts w:ascii="Lato" w:eastAsia="Lato" w:hAnsi="Lato" w:cs="Lato"/>
                <w:color w:val="000000"/>
              </w:rPr>
            </w:pPr>
            <w:r>
              <w:rPr>
                <w:rFonts w:ascii="Lato" w:eastAsia="Lato" w:hAnsi="Lato" w:cs="Lato"/>
                <w:b/>
                <w:color w:val="000000"/>
              </w:rPr>
              <w:t>CZĘŚĆ INDYWIDUALNA</w:t>
            </w:r>
          </w:p>
        </w:tc>
      </w:tr>
      <w:tr w:rsidR="006C336E" w14:paraId="0C7966B5" w14:textId="77777777" w:rsidTr="00BD3DE0">
        <w:trPr>
          <w:trHeight w:val="612"/>
        </w:trPr>
        <w:tc>
          <w:tcPr>
            <w:tcW w:w="2763" w:type="dxa"/>
            <w:tcBorders>
              <w:top w:val="single" w:sz="4" w:space="0" w:color="000000"/>
            </w:tcBorders>
            <w:shd w:val="clear" w:color="auto" w:fill="D9D9D9"/>
          </w:tcPr>
          <w:p w14:paraId="64A54E6D" w14:textId="54E984FE" w:rsidR="006C336E" w:rsidRDefault="006C336E" w:rsidP="00303A41">
            <w:pPr>
              <w:pBdr>
                <w:top w:val="nil"/>
                <w:left w:val="nil"/>
                <w:bottom w:val="nil"/>
                <w:right w:val="nil"/>
                <w:between w:val="nil"/>
              </w:pBdr>
              <w:spacing w:before="40"/>
              <w:jc w:val="both"/>
              <w:rPr>
                <w:rFonts w:ascii="Lato" w:eastAsia="Lato" w:hAnsi="Lato" w:cs="Lato"/>
                <w:color w:val="000000"/>
              </w:rPr>
            </w:pPr>
            <w:r w:rsidRPr="008C2AB2">
              <w:rPr>
                <w:rFonts w:ascii="Lato" w:eastAsia="Lato" w:hAnsi="Lato" w:cs="Lato"/>
                <w:color w:val="000000"/>
              </w:rPr>
              <w:t>Cena lokalu mieszkalnego albo</w:t>
            </w:r>
            <w:r>
              <w:rPr>
                <w:rFonts w:ascii="Lato" w:eastAsia="Lato" w:hAnsi="Lato" w:cs="Lato"/>
                <w:color w:val="000000"/>
              </w:rPr>
              <w:t xml:space="preserve"> </w:t>
            </w:r>
            <w:r w:rsidRPr="008C2AB2">
              <w:rPr>
                <w:rFonts w:ascii="Lato" w:eastAsia="Lato" w:hAnsi="Lato" w:cs="Lato"/>
                <w:color w:val="000000"/>
              </w:rPr>
              <w:t>domu jednorodzinnego</w:t>
            </w:r>
          </w:p>
        </w:tc>
        <w:tc>
          <w:tcPr>
            <w:tcW w:w="7360" w:type="dxa"/>
            <w:gridSpan w:val="6"/>
            <w:tcBorders>
              <w:top w:val="single" w:sz="4" w:space="0" w:color="000000"/>
            </w:tcBorders>
          </w:tcPr>
          <w:p w14:paraId="34BE8823" w14:textId="023A7FB1" w:rsidR="006C336E" w:rsidRDefault="00E94720" w:rsidP="00C53FB7">
            <w:pPr>
              <w:pBdr>
                <w:top w:val="nil"/>
                <w:left w:val="nil"/>
                <w:bottom w:val="nil"/>
                <w:right w:val="nil"/>
                <w:between w:val="nil"/>
              </w:pBdr>
              <w:spacing w:before="30"/>
              <w:jc w:val="both"/>
              <w:rPr>
                <w:rFonts w:ascii="Lato" w:eastAsia="Lato" w:hAnsi="Lato" w:cs="Lato"/>
                <w:i/>
                <w:color w:val="000000"/>
              </w:rPr>
            </w:pPr>
            <w:r>
              <w:rPr>
                <w:rFonts w:ascii="Lato" w:eastAsia="Lato" w:hAnsi="Lato" w:cs="Lato"/>
                <w:i/>
                <w:color w:val="000000"/>
              </w:rPr>
              <w:t>Wg cennika browarjednosci.pl</w:t>
            </w:r>
          </w:p>
        </w:tc>
      </w:tr>
      <w:tr w:rsidR="006C336E" w14:paraId="2C2D986C" w14:textId="77777777" w:rsidTr="00BD3DE0">
        <w:trPr>
          <w:trHeight w:val="612"/>
        </w:trPr>
        <w:tc>
          <w:tcPr>
            <w:tcW w:w="2763" w:type="dxa"/>
            <w:tcBorders>
              <w:top w:val="single" w:sz="4" w:space="0" w:color="000000"/>
            </w:tcBorders>
            <w:shd w:val="clear" w:color="auto" w:fill="D9D9D9"/>
          </w:tcPr>
          <w:p w14:paraId="2865E5E1"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8C2AB2">
              <w:rPr>
                <w:rFonts w:ascii="Lato" w:eastAsia="Lato" w:hAnsi="Lato" w:cs="Lato"/>
                <w:color w:val="000000"/>
              </w:rPr>
              <w:t>Powierzchnia użytkowa lokalu mieszkalnego albo domu jednorodzinnego</w:t>
            </w:r>
          </w:p>
        </w:tc>
        <w:tc>
          <w:tcPr>
            <w:tcW w:w="7360" w:type="dxa"/>
            <w:gridSpan w:val="6"/>
            <w:tcBorders>
              <w:top w:val="single" w:sz="4" w:space="0" w:color="000000"/>
            </w:tcBorders>
          </w:tcPr>
          <w:p w14:paraId="68309E16" w14:textId="5EF81324" w:rsidR="006C336E" w:rsidRPr="008C2AB2" w:rsidRDefault="006C336E" w:rsidP="00C53FB7">
            <w:pPr>
              <w:pBdr>
                <w:top w:val="nil"/>
                <w:left w:val="nil"/>
                <w:bottom w:val="nil"/>
                <w:right w:val="nil"/>
                <w:between w:val="nil"/>
              </w:pBdr>
              <w:spacing w:before="30"/>
              <w:jc w:val="both"/>
              <w:rPr>
                <w:rFonts w:ascii="Lato" w:eastAsia="Lato" w:hAnsi="Lato" w:cs="Lato"/>
                <w:iCs/>
                <w:color w:val="000000"/>
              </w:rPr>
            </w:pPr>
          </w:p>
        </w:tc>
      </w:tr>
      <w:tr w:rsidR="006C336E" w14:paraId="2EF300E7" w14:textId="77777777" w:rsidTr="00BD3DE0">
        <w:trPr>
          <w:trHeight w:val="612"/>
        </w:trPr>
        <w:tc>
          <w:tcPr>
            <w:tcW w:w="2763" w:type="dxa"/>
            <w:tcBorders>
              <w:top w:val="single" w:sz="4" w:space="0" w:color="000000"/>
            </w:tcBorders>
            <w:shd w:val="clear" w:color="auto" w:fill="D9D9D9"/>
          </w:tcPr>
          <w:p w14:paraId="6C3D2652"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Cena m</w:t>
            </w:r>
            <w:r>
              <w:rPr>
                <w:rFonts w:ascii="Lato" w:eastAsia="Lato" w:hAnsi="Lato" w:cs="Lato"/>
                <w:color w:val="000000"/>
                <w:vertAlign w:val="superscript"/>
              </w:rPr>
              <w:t>2</w:t>
            </w:r>
            <w:r>
              <w:rPr>
                <w:rFonts w:ascii="Lato" w:eastAsia="Lato" w:hAnsi="Lato" w:cs="Lato"/>
                <w:color w:val="000000"/>
              </w:rPr>
              <w:t xml:space="preserve"> powierzchni lokalu mieszkalnego lub domu jednorodzinnego</w:t>
            </w:r>
          </w:p>
        </w:tc>
        <w:tc>
          <w:tcPr>
            <w:tcW w:w="7360" w:type="dxa"/>
            <w:gridSpan w:val="6"/>
            <w:tcBorders>
              <w:top w:val="single" w:sz="4" w:space="0" w:color="000000"/>
            </w:tcBorders>
          </w:tcPr>
          <w:p w14:paraId="00F415BF" w14:textId="44B9B7FF" w:rsidR="006C336E" w:rsidRDefault="00E94720" w:rsidP="00C53FB7">
            <w:pPr>
              <w:pBdr>
                <w:top w:val="nil"/>
                <w:left w:val="nil"/>
                <w:bottom w:val="nil"/>
                <w:right w:val="nil"/>
                <w:between w:val="nil"/>
              </w:pBdr>
              <w:spacing w:before="30" w:after="200" w:line="276" w:lineRule="auto"/>
              <w:jc w:val="both"/>
              <w:rPr>
                <w:rFonts w:ascii="Lato" w:eastAsia="Lato" w:hAnsi="Lato" w:cs="Lato"/>
                <w:color w:val="FF0000"/>
              </w:rPr>
            </w:pPr>
            <w:r>
              <w:rPr>
                <w:rFonts w:ascii="Lato" w:eastAsia="Lato" w:hAnsi="Lato" w:cs="Lato"/>
              </w:rPr>
              <w:t>18000 zł</w:t>
            </w:r>
          </w:p>
        </w:tc>
      </w:tr>
      <w:tr w:rsidR="006C336E" w14:paraId="2A2F6663" w14:textId="77777777" w:rsidTr="00BD3DE0">
        <w:trPr>
          <w:trHeight w:val="970"/>
        </w:trPr>
        <w:tc>
          <w:tcPr>
            <w:tcW w:w="2763" w:type="dxa"/>
            <w:shd w:val="clear" w:color="auto" w:fill="D9D9D9"/>
          </w:tcPr>
          <w:p w14:paraId="5096B604"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305A2F">
              <w:rPr>
                <w:rFonts w:ascii="Lato" w:eastAsia="Lato" w:hAnsi="Lato" w:cs="Lato"/>
                <w:color w:val="000000"/>
              </w:rPr>
              <w:lastRenderedPageBreak/>
              <w:t>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w:t>
            </w:r>
          </w:p>
          <w:p w14:paraId="3B766075" w14:textId="494EF68E" w:rsidR="00303A41" w:rsidRDefault="00303A41" w:rsidP="00C53FB7">
            <w:pPr>
              <w:pBdr>
                <w:top w:val="nil"/>
                <w:left w:val="nil"/>
                <w:bottom w:val="nil"/>
                <w:right w:val="nil"/>
                <w:between w:val="nil"/>
              </w:pBdr>
              <w:spacing w:before="40"/>
              <w:jc w:val="both"/>
              <w:rPr>
                <w:rFonts w:ascii="Lato" w:eastAsia="Lato" w:hAnsi="Lato" w:cs="Lato"/>
                <w:color w:val="000000"/>
              </w:rPr>
            </w:pPr>
            <w:r w:rsidRPr="000A2679">
              <w:rPr>
                <w:rFonts w:ascii="Lato" w:eastAsia="Lato" w:hAnsi="Lato" w:cs="Lato"/>
                <w:color w:val="000000"/>
                <w:sz w:val="18"/>
              </w:rPr>
              <w:t>(Aktualizacja 29.03.2024 r.)</w:t>
            </w:r>
          </w:p>
        </w:tc>
        <w:tc>
          <w:tcPr>
            <w:tcW w:w="7360" w:type="dxa"/>
            <w:gridSpan w:val="6"/>
          </w:tcPr>
          <w:p w14:paraId="475F32DF" w14:textId="67C88333" w:rsidR="006C336E" w:rsidRPr="001A4A62" w:rsidRDefault="00E94720" w:rsidP="00385B13">
            <w:pPr>
              <w:pBdr>
                <w:top w:val="nil"/>
                <w:left w:val="nil"/>
                <w:bottom w:val="nil"/>
                <w:right w:val="nil"/>
                <w:between w:val="nil"/>
              </w:pBdr>
              <w:spacing w:before="30"/>
              <w:ind w:left="3600" w:hanging="3600"/>
              <w:jc w:val="both"/>
              <w:rPr>
                <w:rFonts w:ascii="Lato" w:eastAsia="Lato" w:hAnsi="Lato" w:cs="Lato"/>
                <w:color w:val="000000"/>
                <w:highlight w:val="green"/>
                <w:u w:val="single"/>
              </w:rPr>
            </w:pPr>
            <w:r>
              <w:rPr>
                <w:rFonts w:ascii="Lato" w:eastAsia="Lato" w:hAnsi="Lato" w:cs="Lato"/>
                <w:iCs/>
                <w:color w:val="000000"/>
                <w:u w:val="single"/>
              </w:rPr>
              <w:t>24</w:t>
            </w:r>
            <w:r w:rsidR="006D07D5">
              <w:rPr>
                <w:rFonts w:ascii="Lato" w:eastAsia="Lato" w:hAnsi="Lato" w:cs="Lato"/>
                <w:iCs/>
                <w:color w:val="000000"/>
                <w:u w:val="single"/>
              </w:rPr>
              <w:t>.</w:t>
            </w:r>
            <w:r w:rsidR="007F1AA3" w:rsidRPr="001A4A62">
              <w:rPr>
                <w:rFonts w:ascii="Lato" w:eastAsia="Lato" w:hAnsi="Lato" w:cs="Lato"/>
                <w:iCs/>
                <w:color w:val="000000"/>
                <w:u w:val="single"/>
              </w:rPr>
              <w:t>0</w:t>
            </w:r>
            <w:r w:rsidR="00245713">
              <w:rPr>
                <w:rFonts w:ascii="Lato" w:eastAsia="Lato" w:hAnsi="Lato" w:cs="Lato"/>
                <w:iCs/>
                <w:color w:val="000000"/>
                <w:u w:val="single"/>
              </w:rPr>
              <w:t>5</w:t>
            </w:r>
            <w:r w:rsidR="006C336E" w:rsidRPr="001A4A62">
              <w:rPr>
                <w:rFonts w:ascii="Lato" w:eastAsia="Lato" w:hAnsi="Lato" w:cs="Lato"/>
                <w:iCs/>
                <w:color w:val="000000"/>
                <w:u w:val="single"/>
              </w:rPr>
              <w:t>.202</w:t>
            </w:r>
            <w:r w:rsidR="006D07D5">
              <w:rPr>
                <w:rFonts w:ascii="Lato" w:eastAsia="Lato" w:hAnsi="Lato" w:cs="Lato"/>
                <w:iCs/>
                <w:color w:val="000000"/>
                <w:u w:val="single"/>
              </w:rPr>
              <w:t>5</w:t>
            </w:r>
            <w:r w:rsidR="003262BF" w:rsidRPr="001A4A62">
              <w:rPr>
                <w:rFonts w:ascii="Lato" w:eastAsia="Lato" w:hAnsi="Lato" w:cs="Lato"/>
                <w:iCs/>
                <w:color w:val="000000"/>
                <w:u w:val="single"/>
              </w:rPr>
              <w:t>r.</w:t>
            </w:r>
            <w:r w:rsidR="003262BF" w:rsidRPr="001A4A62">
              <w:rPr>
                <w:rStyle w:val="Odwoanieprzypisudolnego"/>
                <w:rFonts w:ascii="Lato" w:eastAsia="Lato" w:hAnsi="Lato" w:cs="Lato"/>
                <w:color w:val="000000"/>
                <w:u w:val="single"/>
              </w:rPr>
              <w:footnoteReference w:id="8"/>
            </w:r>
            <w:r>
              <w:rPr>
                <w:rFonts w:ascii="Lato" w:eastAsia="Lato" w:hAnsi="Lato" w:cs="Lato"/>
                <w:iCs/>
                <w:color w:val="000000"/>
                <w:u w:val="single"/>
              </w:rPr>
              <w:t xml:space="preserve"> – inwestycja zakończona, można przenieść w każdej chwili</w:t>
            </w:r>
          </w:p>
        </w:tc>
      </w:tr>
      <w:tr w:rsidR="006C336E" w14:paraId="71E873FA" w14:textId="77777777" w:rsidTr="00BD3DE0">
        <w:trPr>
          <w:trHeight w:val="488"/>
        </w:trPr>
        <w:tc>
          <w:tcPr>
            <w:tcW w:w="2763" w:type="dxa"/>
            <w:vMerge w:val="restart"/>
            <w:shd w:val="clear" w:color="auto" w:fill="D9D9D9"/>
          </w:tcPr>
          <w:p w14:paraId="7777A17A"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bookmarkStart w:id="5" w:name="_heading=h.1ksv4uv" w:colFirst="0" w:colLast="0"/>
            <w:bookmarkEnd w:id="5"/>
            <w:r w:rsidRPr="00305A2F">
              <w:rPr>
                <w:rFonts w:ascii="Lato" w:eastAsia="Lato" w:hAnsi="Lato" w:cs="Lato"/>
                <w:color w:val="000000"/>
              </w:rPr>
              <w:t>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w:t>
            </w:r>
          </w:p>
        </w:tc>
        <w:tc>
          <w:tcPr>
            <w:tcW w:w="3276" w:type="dxa"/>
            <w:gridSpan w:val="2"/>
          </w:tcPr>
          <w:p w14:paraId="437ACA65"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liczba kondygnacji</w:t>
            </w:r>
          </w:p>
        </w:tc>
        <w:tc>
          <w:tcPr>
            <w:tcW w:w="4084" w:type="dxa"/>
            <w:gridSpan w:val="4"/>
          </w:tcPr>
          <w:p w14:paraId="58B34EF2" w14:textId="5C74E3CC" w:rsidR="00A25A11" w:rsidRDefault="00392A39">
            <w:pPr>
              <w:pStyle w:val="Standard"/>
              <w:rPr>
                <w:rFonts w:ascii="Lato" w:eastAsia="Lato" w:hAnsi="Lato" w:cs="Lato"/>
              </w:rPr>
            </w:pPr>
            <w:r>
              <w:rPr>
                <w:rFonts w:ascii="Lato" w:eastAsia="Lato" w:hAnsi="Lato" w:cs="Lato"/>
              </w:rPr>
              <w:t>5</w:t>
            </w:r>
            <w:r w:rsidR="00303A41">
              <w:rPr>
                <w:rStyle w:val="Odwoanieprzypisudolnego"/>
                <w:rFonts w:ascii="Lato" w:eastAsia="Lato" w:hAnsi="Lato" w:cs="Lato"/>
              </w:rPr>
              <w:footnoteReference w:id="9"/>
            </w:r>
          </w:p>
        </w:tc>
      </w:tr>
      <w:tr w:rsidR="006C336E" w14:paraId="4C6E65CE" w14:textId="77777777" w:rsidTr="00BD3DE0">
        <w:trPr>
          <w:trHeight w:val="488"/>
        </w:trPr>
        <w:tc>
          <w:tcPr>
            <w:tcW w:w="2763" w:type="dxa"/>
            <w:vMerge/>
            <w:shd w:val="clear" w:color="auto" w:fill="D9D9D9"/>
          </w:tcPr>
          <w:p w14:paraId="7DB62465"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rPr>
            </w:pPr>
          </w:p>
        </w:tc>
        <w:tc>
          <w:tcPr>
            <w:tcW w:w="3276" w:type="dxa"/>
            <w:gridSpan w:val="2"/>
          </w:tcPr>
          <w:p w14:paraId="4F9F2A28"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bookmarkStart w:id="6" w:name="_heading=h.44sinio" w:colFirst="0" w:colLast="0"/>
            <w:bookmarkEnd w:id="6"/>
            <w:r>
              <w:rPr>
                <w:rFonts w:ascii="Lato" w:eastAsia="Lato" w:hAnsi="Lato" w:cs="Lato"/>
                <w:color w:val="000000"/>
              </w:rPr>
              <w:t>technologia wykonania</w:t>
            </w:r>
          </w:p>
        </w:tc>
        <w:tc>
          <w:tcPr>
            <w:tcW w:w="4084" w:type="dxa"/>
            <w:gridSpan w:val="4"/>
          </w:tcPr>
          <w:p w14:paraId="31FA9C94" w14:textId="77777777" w:rsidR="00EA34D6" w:rsidRDefault="00EA34D6" w:rsidP="00EA34D6">
            <w:pPr>
              <w:pStyle w:val="Standard"/>
            </w:pPr>
          </w:p>
          <w:p w14:paraId="58C0382B" w14:textId="77777777" w:rsidR="00C2492C" w:rsidRDefault="00C2492C" w:rsidP="00C2492C">
            <w:pPr>
              <w:pStyle w:val="Standard"/>
              <w:jc w:val="left"/>
              <w:rPr>
                <w:rFonts w:ascii="Palatino Linotype" w:hAnsi="Palatino Linotype"/>
                <w:b/>
                <w:sz w:val="18"/>
                <w:szCs w:val="18"/>
              </w:rPr>
            </w:pPr>
            <w:r>
              <w:t>Tradycyjna</w:t>
            </w:r>
            <w:r>
              <w:br/>
            </w:r>
            <w:r>
              <w:br/>
            </w:r>
            <w:r>
              <w:rPr>
                <w:rFonts w:ascii="Palatino Linotype" w:hAnsi="Palatino Linotype"/>
                <w:b/>
                <w:sz w:val="18"/>
                <w:szCs w:val="18"/>
              </w:rPr>
              <w:t>Konstrukcja:</w:t>
            </w:r>
          </w:p>
          <w:p w14:paraId="6137A46F"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ławy żelbetowe</w:t>
            </w:r>
          </w:p>
          <w:p w14:paraId="2EAC15DC"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xml:space="preserve">- ściany fundamentowe żelbetowe (ocieplone </w:t>
            </w:r>
            <w:proofErr w:type="spellStart"/>
            <w:r>
              <w:rPr>
                <w:rFonts w:ascii="Palatino Linotype" w:hAnsi="Palatino Linotype"/>
                <w:sz w:val="18"/>
                <w:szCs w:val="18"/>
              </w:rPr>
              <w:t>Styrodurem</w:t>
            </w:r>
            <w:proofErr w:type="spellEnd"/>
            <w:r>
              <w:rPr>
                <w:rFonts w:ascii="Palatino Linotype" w:hAnsi="Palatino Linotype"/>
                <w:sz w:val="18"/>
                <w:szCs w:val="18"/>
              </w:rPr>
              <w:t xml:space="preserve"> gr 5cm)</w:t>
            </w:r>
          </w:p>
          <w:p w14:paraId="1ACF631A" w14:textId="77777777" w:rsidR="00C2492C" w:rsidRDefault="00C2492C" w:rsidP="00C2492C">
            <w:pPr>
              <w:pStyle w:val="Standard"/>
            </w:pPr>
            <w:r>
              <w:rPr>
                <w:rFonts w:ascii="Palatino Linotype" w:hAnsi="Palatino Linotype"/>
                <w:sz w:val="18"/>
                <w:szCs w:val="18"/>
              </w:rPr>
              <w:t>- ściany nośne żelbetowe</w:t>
            </w:r>
          </w:p>
          <w:p w14:paraId="2119AF8B"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strop typu monolit żelbetowy</w:t>
            </w:r>
          </w:p>
          <w:p w14:paraId="71702BD4" w14:textId="77777777" w:rsidR="00C2492C" w:rsidRDefault="00C2492C" w:rsidP="00C2492C">
            <w:pPr>
              <w:pStyle w:val="Standard"/>
              <w:rPr>
                <w:rFonts w:ascii="Palatino Linotype" w:hAnsi="Palatino Linotype"/>
                <w:sz w:val="18"/>
                <w:szCs w:val="18"/>
              </w:rPr>
            </w:pPr>
          </w:p>
          <w:p w14:paraId="774E5707" w14:textId="77777777" w:rsidR="00C2492C" w:rsidRDefault="00C2492C" w:rsidP="00C2492C">
            <w:pPr>
              <w:pStyle w:val="Standard"/>
              <w:rPr>
                <w:rFonts w:ascii="Palatino Linotype" w:hAnsi="Palatino Linotype"/>
                <w:b/>
                <w:sz w:val="18"/>
                <w:szCs w:val="18"/>
              </w:rPr>
            </w:pPr>
            <w:r>
              <w:rPr>
                <w:rFonts w:ascii="Palatino Linotype" w:hAnsi="Palatino Linotype"/>
                <w:b/>
                <w:sz w:val="18"/>
                <w:szCs w:val="18"/>
              </w:rPr>
              <w:t>Dach:</w:t>
            </w:r>
          </w:p>
          <w:p w14:paraId="136DA0DB"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więźba dachowa</w:t>
            </w:r>
          </w:p>
          <w:p w14:paraId="6FC0A807" w14:textId="77777777" w:rsidR="00C2492C" w:rsidRDefault="00C2492C" w:rsidP="00C2492C">
            <w:pPr>
              <w:pStyle w:val="Standard"/>
            </w:pPr>
            <w:r>
              <w:rPr>
                <w:rFonts w:ascii="Palatino Linotype" w:hAnsi="Palatino Linotype"/>
                <w:sz w:val="18"/>
                <w:szCs w:val="18"/>
              </w:rPr>
              <w:t xml:space="preserve">- </w:t>
            </w:r>
            <w:proofErr w:type="spellStart"/>
            <w:r>
              <w:rPr>
                <w:rFonts w:ascii="Palatino Linotype" w:hAnsi="Palatino Linotype"/>
                <w:sz w:val="18"/>
                <w:szCs w:val="18"/>
              </w:rPr>
              <w:t>corten</w:t>
            </w:r>
            <w:proofErr w:type="spellEnd"/>
          </w:p>
          <w:p w14:paraId="4CFB16C5" w14:textId="77777777" w:rsidR="00C2492C" w:rsidRDefault="00C2492C" w:rsidP="00C2492C">
            <w:pPr>
              <w:pStyle w:val="Standard"/>
            </w:pPr>
            <w:r>
              <w:rPr>
                <w:rFonts w:ascii="Palatino Linotype" w:hAnsi="Palatino Linotype"/>
                <w:sz w:val="18"/>
                <w:szCs w:val="18"/>
              </w:rPr>
              <w:t>- obróbki blacharskie: blacha</w:t>
            </w:r>
          </w:p>
          <w:p w14:paraId="57A551B7" w14:textId="77777777" w:rsidR="00C2492C" w:rsidRDefault="00C2492C" w:rsidP="00C2492C">
            <w:pPr>
              <w:pStyle w:val="Standard"/>
            </w:pPr>
            <w:r>
              <w:rPr>
                <w:rFonts w:ascii="Palatino Linotype" w:hAnsi="Palatino Linotype"/>
                <w:sz w:val="18"/>
                <w:szCs w:val="18"/>
              </w:rPr>
              <w:t>- rynny stalowe</w:t>
            </w:r>
          </w:p>
          <w:p w14:paraId="7C3CC4A0" w14:textId="77777777" w:rsidR="00C2492C" w:rsidRDefault="00C2492C" w:rsidP="00C2492C">
            <w:pPr>
              <w:pStyle w:val="Standard"/>
              <w:shd w:val="clear" w:color="auto" w:fill="FFFFFF"/>
              <w:snapToGrid w:val="0"/>
              <w:spacing w:before="30" w:line="276" w:lineRule="auto"/>
              <w:jc w:val="both"/>
            </w:pPr>
          </w:p>
          <w:p w14:paraId="42502496" w14:textId="77777777" w:rsidR="00C2492C" w:rsidRDefault="00C2492C" w:rsidP="00C2492C">
            <w:pPr>
              <w:pStyle w:val="Standard"/>
            </w:pPr>
            <w:r>
              <w:rPr>
                <w:rFonts w:ascii="Palatino Linotype" w:hAnsi="Palatino Linotype"/>
                <w:b/>
                <w:sz w:val="18"/>
                <w:szCs w:val="18"/>
              </w:rPr>
              <w:t>Stolarka okienna</w:t>
            </w:r>
            <w:r>
              <w:rPr>
                <w:rFonts w:ascii="Palatino Linotype" w:hAnsi="Palatino Linotype"/>
                <w:sz w:val="18"/>
                <w:szCs w:val="18"/>
              </w:rPr>
              <w:t>:</w:t>
            </w:r>
          </w:p>
          <w:p w14:paraId="17986F14" w14:textId="77777777" w:rsidR="00C2492C" w:rsidRDefault="00C2492C" w:rsidP="00C2492C">
            <w:pPr>
              <w:pStyle w:val="Standard"/>
            </w:pPr>
            <w:r>
              <w:rPr>
                <w:rFonts w:ascii="Palatino Linotype" w:hAnsi="Palatino Linotype"/>
                <w:sz w:val="18"/>
                <w:szCs w:val="18"/>
              </w:rPr>
              <w:t>- okna PCV 3 szybowe</w:t>
            </w:r>
          </w:p>
          <w:p w14:paraId="4DEA0AE9" w14:textId="77777777" w:rsidR="00C2492C" w:rsidRDefault="00C2492C" w:rsidP="00C2492C">
            <w:pPr>
              <w:pStyle w:val="Standard"/>
              <w:shd w:val="clear" w:color="auto" w:fill="FFFFFF"/>
              <w:snapToGrid w:val="0"/>
              <w:spacing w:before="30" w:line="276" w:lineRule="auto"/>
              <w:jc w:val="both"/>
            </w:pPr>
            <w:r>
              <w:rPr>
                <w:rFonts w:ascii="Palatino Linotype" w:hAnsi="Palatino Linotype"/>
                <w:sz w:val="18"/>
                <w:szCs w:val="18"/>
              </w:rPr>
              <w:t xml:space="preserve">- drzwi aluminiowe </w:t>
            </w:r>
            <w:r w:rsidRPr="00600740">
              <w:rPr>
                <w:rFonts w:ascii="Palatino Linotype" w:hAnsi="Palatino Linotype"/>
                <w:sz w:val="18"/>
                <w:szCs w:val="18"/>
                <w:u w:val="single"/>
              </w:rPr>
              <w:t>wejściowe do budynku</w:t>
            </w:r>
          </w:p>
          <w:p w14:paraId="26B172C6" w14:textId="77777777" w:rsidR="00C2492C" w:rsidRDefault="00C2492C" w:rsidP="00C2492C">
            <w:pPr>
              <w:pStyle w:val="Standard"/>
              <w:shd w:val="clear" w:color="auto" w:fill="FFFFFF"/>
              <w:snapToGrid w:val="0"/>
              <w:spacing w:before="30" w:line="276" w:lineRule="auto"/>
              <w:jc w:val="both"/>
            </w:pPr>
          </w:p>
          <w:p w14:paraId="008CDF83" w14:textId="77777777" w:rsidR="00C2492C" w:rsidRDefault="00C2492C" w:rsidP="00C2492C">
            <w:pPr>
              <w:pStyle w:val="Standard"/>
            </w:pPr>
            <w:r>
              <w:rPr>
                <w:rFonts w:ascii="Palatino Linotype" w:hAnsi="Palatino Linotype"/>
                <w:b/>
                <w:sz w:val="18"/>
                <w:szCs w:val="18"/>
              </w:rPr>
              <w:t>Instalacje:</w:t>
            </w:r>
          </w:p>
          <w:p w14:paraId="3767664E" w14:textId="77777777" w:rsidR="00C2492C" w:rsidRDefault="00C2492C" w:rsidP="00C2492C">
            <w:pPr>
              <w:pStyle w:val="Standard"/>
            </w:pPr>
            <w:r>
              <w:rPr>
                <w:rFonts w:ascii="Palatino Linotype" w:hAnsi="Palatino Linotype"/>
                <w:sz w:val="18"/>
                <w:szCs w:val="18"/>
              </w:rPr>
              <w:t>-</w:t>
            </w:r>
            <w:r>
              <w:rPr>
                <w:rFonts w:ascii="Palatino Linotype" w:hAnsi="Palatino Linotype"/>
                <w:b/>
                <w:sz w:val="18"/>
                <w:szCs w:val="18"/>
              </w:rPr>
              <w:t xml:space="preserve"> </w:t>
            </w:r>
            <w:r>
              <w:rPr>
                <w:rFonts w:ascii="Palatino Linotype" w:hAnsi="Palatino Linotype"/>
                <w:sz w:val="18"/>
                <w:szCs w:val="18"/>
              </w:rPr>
              <w:t>Ogrzewanie budynku grzejnikami oraz ciepła woda użytkowa   obsługiwane przez Fortum:</w:t>
            </w:r>
          </w:p>
          <w:p w14:paraId="14CC7D48" w14:textId="77777777" w:rsidR="00C2492C" w:rsidRDefault="00C2492C" w:rsidP="00C2492C">
            <w:pPr>
              <w:pStyle w:val="Standard"/>
            </w:pPr>
            <w:r>
              <w:rPr>
                <w:rFonts w:ascii="Palatino Linotype" w:hAnsi="Palatino Linotype"/>
                <w:sz w:val="18"/>
                <w:szCs w:val="18"/>
              </w:rPr>
              <w:t xml:space="preserve">przystosowany do podłączenia instalacji obiegu cyrkulacji </w:t>
            </w:r>
            <w:proofErr w:type="spellStart"/>
            <w:r>
              <w:rPr>
                <w:rFonts w:ascii="Palatino Linotype" w:hAnsi="Palatino Linotype"/>
                <w:sz w:val="18"/>
                <w:szCs w:val="18"/>
              </w:rPr>
              <w:t>c.w.u</w:t>
            </w:r>
            <w:proofErr w:type="spellEnd"/>
          </w:p>
          <w:p w14:paraId="03EEE1EA" w14:textId="77777777" w:rsidR="00C2492C" w:rsidRDefault="00C2492C" w:rsidP="00C2492C">
            <w:pPr>
              <w:pStyle w:val="Standard"/>
            </w:pPr>
            <w:r>
              <w:rPr>
                <w:rFonts w:ascii="Palatino Linotype" w:hAnsi="Palatino Linotype"/>
                <w:sz w:val="18"/>
                <w:szCs w:val="18"/>
              </w:rPr>
              <w:t xml:space="preserve">- Elektryka (zabezpieczenia marki </w:t>
            </w:r>
            <w:r>
              <w:rPr>
                <w:rFonts w:ascii="Palatino Linotype" w:hAnsi="Palatino Linotype"/>
                <w:b/>
                <w:sz w:val="18"/>
                <w:szCs w:val="18"/>
              </w:rPr>
              <w:t>Legrand lub podobne</w:t>
            </w:r>
            <w:r>
              <w:rPr>
                <w:rFonts w:ascii="Palatino Linotype" w:hAnsi="Palatino Linotype"/>
                <w:sz w:val="18"/>
                <w:szCs w:val="18"/>
              </w:rPr>
              <w:t>)</w:t>
            </w:r>
          </w:p>
          <w:p w14:paraId="7E5D8EAB" w14:textId="77777777" w:rsidR="00C2492C" w:rsidRDefault="00C2492C" w:rsidP="00C2492C">
            <w:pPr>
              <w:pStyle w:val="Standard"/>
            </w:pPr>
          </w:p>
          <w:p w14:paraId="66372CF5" w14:textId="77777777" w:rsidR="00C2492C" w:rsidRDefault="00C2492C" w:rsidP="00C2492C">
            <w:pPr>
              <w:pStyle w:val="Standard"/>
              <w:rPr>
                <w:rFonts w:ascii="Palatino Linotype" w:hAnsi="Palatino Linotype"/>
                <w:b/>
                <w:sz w:val="18"/>
                <w:szCs w:val="18"/>
              </w:rPr>
            </w:pPr>
            <w:r>
              <w:rPr>
                <w:rFonts w:ascii="Palatino Linotype" w:hAnsi="Palatino Linotype"/>
                <w:b/>
                <w:sz w:val="18"/>
                <w:szCs w:val="18"/>
              </w:rPr>
              <w:t>Ocieplenie + elewacja:</w:t>
            </w:r>
          </w:p>
          <w:p w14:paraId="6DC49023" w14:textId="77777777" w:rsidR="00C2492C" w:rsidRDefault="00C2492C" w:rsidP="00C2492C">
            <w:pPr>
              <w:pStyle w:val="Standard"/>
            </w:pPr>
            <w:r>
              <w:rPr>
                <w:rFonts w:ascii="Palatino Linotype" w:hAnsi="Palatino Linotype"/>
                <w:sz w:val="18"/>
                <w:szCs w:val="18"/>
              </w:rPr>
              <w:t xml:space="preserve">- </w:t>
            </w:r>
            <w:proofErr w:type="spellStart"/>
            <w:r>
              <w:rPr>
                <w:rFonts w:ascii="Palatino Linotype" w:hAnsi="Palatino Linotype"/>
                <w:sz w:val="18"/>
                <w:szCs w:val="18"/>
              </w:rPr>
              <w:t>corten</w:t>
            </w:r>
            <w:proofErr w:type="spellEnd"/>
            <w:r>
              <w:rPr>
                <w:rFonts w:ascii="Palatino Linotype" w:hAnsi="Palatino Linotype"/>
                <w:sz w:val="18"/>
                <w:szCs w:val="18"/>
              </w:rPr>
              <w:t xml:space="preserve"> + wełna</w:t>
            </w:r>
          </w:p>
          <w:p w14:paraId="28DA8674" w14:textId="77777777" w:rsidR="00C2492C" w:rsidRDefault="00C2492C" w:rsidP="00C2492C">
            <w:pPr>
              <w:pStyle w:val="Standard"/>
            </w:pPr>
            <w:r>
              <w:rPr>
                <w:rFonts w:ascii="Palatino Linotype" w:hAnsi="Palatino Linotype"/>
                <w:sz w:val="18"/>
                <w:szCs w:val="18"/>
              </w:rPr>
              <w:t>-</w:t>
            </w:r>
            <w:r>
              <w:rPr>
                <w:rFonts w:ascii="Palatino Linotype" w:hAnsi="Palatino Linotype"/>
                <w:b/>
                <w:sz w:val="18"/>
                <w:szCs w:val="18"/>
              </w:rPr>
              <w:t xml:space="preserve"> </w:t>
            </w:r>
            <w:r>
              <w:rPr>
                <w:rFonts w:ascii="Palatino Linotype" w:hAnsi="Palatino Linotype"/>
                <w:sz w:val="18"/>
                <w:szCs w:val="18"/>
              </w:rPr>
              <w:t>zewnętrze parapety stalowe                                    - poddasze ocieplone wełną mineralną gr 20 cm lub pianą PUR</w:t>
            </w:r>
          </w:p>
          <w:p w14:paraId="76559628" w14:textId="77777777" w:rsidR="00A25A11" w:rsidRDefault="00A25A11">
            <w:pPr>
              <w:pStyle w:val="Standard"/>
              <w:rPr>
                <w:rFonts w:ascii="Lato" w:eastAsia="Lato" w:hAnsi="Lato" w:cs="Lato"/>
                <w:color w:val="000000"/>
              </w:rPr>
            </w:pPr>
          </w:p>
        </w:tc>
      </w:tr>
      <w:tr w:rsidR="006C336E" w14:paraId="31254E54" w14:textId="77777777" w:rsidTr="00BD3DE0">
        <w:trPr>
          <w:trHeight w:val="488"/>
        </w:trPr>
        <w:tc>
          <w:tcPr>
            <w:tcW w:w="2763" w:type="dxa"/>
            <w:vMerge/>
            <w:shd w:val="clear" w:color="auto" w:fill="D9D9D9"/>
          </w:tcPr>
          <w:p w14:paraId="4244719E"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c>
        <w:tc>
          <w:tcPr>
            <w:tcW w:w="3276" w:type="dxa"/>
            <w:gridSpan w:val="2"/>
          </w:tcPr>
          <w:p w14:paraId="56C795CF"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bookmarkStart w:id="7" w:name="_heading=h.2jxsxqh" w:colFirst="0" w:colLast="0"/>
            <w:bookmarkEnd w:id="7"/>
            <w:r>
              <w:rPr>
                <w:rFonts w:ascii="Lato" w:eastAsia="Lato" w:hAnsi="Lato" w:cs="Lato"/>
                <w:color w:val="000000"/>
              </w:rPr>
              <w:t>Standard prac wykończeniowych w części wspólnej budynku i terenie wokół niego, stanowiącym część wspólną nieruchomości</w:t>
            </w:r>
          </w:p>
        </w:tc>
        <w:tc>
          <w:tcPr>
            <w:tcW w:w="4084" w:type="dxa"/>
            <w:gridSpan w:val="4"/>
          </w:tcPr>
          <w:p w14:paraId="453B7A50" w14:textId="77777777" w:rsidR="00C2492C" w:rsidRDefault="00C2492C" w:rsidP="00C2492C">
            <w:pPr>
              <w:pStyle w:val="Standard"/>
              <w:rPr>
                <w:rFonts w:ascii="Palatino Linotype" w:hAnsi="Palatino Linotype"/>
                <w:b/>
                <w:sz w:val="18"/>
                <w:szCs w:val="18"/>
              </w:rPr>
            </w:pPr>
            <w:r>
              <w:rPr>
                <w:rFonts w:ascii="Palatino Linotype" w:hAnsi="Palatino Linotype"/>
                <w:b/>
                <w:sz w:val="18"/>
                <w:szCs w:val="18"/>
              </w:rPr>
              <w:t>Roboty wykończeniowe wnętrze:</w:t>
            </w:r>
          </w:p>
          <w:p w14:paraId="15D033FE"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Budynek H</w:t>
            </w:r>
          </w:p>
          <w:p w14:paraId="6F676472"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xml:space="preserve">- ściany murowane z cegły i </w:t>
            </w:r>
            <w:proofErr w:type="spellStart"/>
            <w:r>
              <w:rPr>
                <w:rFonts w:ascii="Palatino Linotype" w:hAnsi="Palatino Linotype"/>
                <w:sz w:val="18"/>
                <w:szCs w:val="18"/>
              </w:rPr>
              <w:t>suporeksa</w:t>
            </w:r>
            <w:proofErr w:type="spellEnd"/>
            <w:r>
              <w:rPr>
                <w:rFonts w:ascii="Palatino Linotype" w:hAnsi="Palatino Linotype"/>
                <w:sz w:val="18"/>
                <w:szCs w:val="18"/>
              </w:rPr>
              <w:t>, tynkowane</w:t>
            </w:r>
          </w:p>
          <w:p w14:paraId="6C856D10" w14:textId="77777777" w:rsidR="00C2492C" w:rsidRDefault="00C2492C" w:rsidP="00C2492C">
            <w:pPr>
              <w:pStyle w:val="Standard"/>
              <w:rPr>
                <w:rFonts w:ascii="Palatino Linotype" w:hAnsi="Palatino Linotype"/>
                <w:sz w:val="18"/>
                <w:szCs w:val="18"/>
              </w:rPr>
            </w:pPr>
            <w:r>
              <w:rPr>
                <w:rFonts w:ascii="Palatino Linotype" w:hAnsi="Palatino Linotype"/>
                <w:sz w:val="18"/>
                <w:szCs w:val="18"/>
              </w:rPr>
              <w:t>- sufity z płyt GK lub tynkowane</w:t>
            </w:r>
          </w:p>
          <w:p w14:paraId="55B5DE32" w14:textId="77777777" w:rsidR="00C2492C" w:rsidRDefault="00C2492C" w:rsidP="00C2492C">
            <w:pPr>
              <w:pStyle w:val="Standard"/>
            </w:pPr>
            <w:r>
              <w:rPr>
                <w:rFonts w:ascii="Palatino Linotype" w:hAnsi="Palatino Linotype"/>
                <w:sz w:val="18"/>
                <w:szCs w:val="18"/>
              </w:rPr>
              <w:t xml:space="preserve">- tynki gipsowe i cementowo-wapienne </w:t>
            </w:r>
            <w:r>
              <w:rPr>
                <w:rFonts w:ascii="Palatino Linotype" w:hAnsi="Palatino Linotype"/>
                <w:b/>
                <w:sz w:val="18"/>
                <w:szCs w:val="18"/>
              </w:rPr>
              <w:t xml:space="preserve"> </w:t>
            </w:r>
          </w:p>
          <w:p w14:paraId="3D1A06D8" w14:textId="77777777" w:rsidR="00C2492C" w:rsidRPr="00EA34D6" w:rsidRDefault="00C2492C" w:rsidP="00C2492C">
            <w:pPr>
              <w:pStyle w:val="Standard"/>
              <w:jc w:val="left"/>
              <w:rPr>
                <w:rFonts w:ascii="Palatino Linotype" w:hAnsi="Palatino Linotype"/>
                <w:sz w:val="18"/>
                <w:szCs w:val="18"/>
              </w:rPr>
            </w:pPr>
            <w:r>
              <w:rPr>
                <w:rFonts w:ascii="Palatino Linotype" w:hAnsi="Palatino Linotype"/>
                <w:sz w:val="18"/>
                <w:szCs w:val="18"/>
              </w:rPr>
              <w:t>- zabudowa lekka z płyt GK</w:t>
            </w:r>
          </w:p>
          <w:p w14:paraId="2A856EC7" w14:textId="77777777" w:rsidR="00C2492C" w:rsidRPr="00867975" w:rsidRDefault="00C2492C" w:rsidP="00C2492C">
            <w:pPr>
              <w:pStyle w:val="Standard"/>
              <w:jc w:val="left"/>
              <w:rPr>
                <w:rFonts w:ascii="Palatino Linotype" w:hAnsi="Palatino Linotype"/>
                <w:sz w:val="18"/>
                <w:szCs w:val="18"/>
              </w:rPr>
            </w:pPr>
            <w:r>
              <w:t xml:space="preserve">- </w:t>
            </w:r>
            <w:r>
              <w:rPr>
                <w:rFonts w:ascii="Palatino Linotype" w:hAnsi="Palatino Linotype"/>
                <w:sz w:val="18"/>
                <w:szCs w:val="18"/>
              </w:rPr>
              <w:t>posadzki styropian EPS 100 + jastrych</w:t>
            </w:r>
          </w:p>
          <w:p w14:paraId="527C1048" w14:textId="77777777" w:rsidR="00867975" w:rsidRDefault="00867975" w:rsidP="00867975">
            <w:pPr>
              <w:pStyle w:val="Standard"/>
              <w:rPr>
                <w:rFonts w:ascii="Palatino Linotype" w:hAnsi="Palatino Linotype"/>
                <w:b/>
                <w:sz w:val="18"/>
                <w:szCs w:val="18"/>
              </w:rPr>
            </w:pPr>
          </w:p>
          <w:p w14:paraId="7C898839" w14:textId="77777777" w:rsidR="00867975" w:rsidRDefault="00867975" w:rsidP="00867975">
            <w:pPr>
              <w:pStyle w:val="Standard"/>
              <w:rPr>
                <w:rFonts w:ascii="Palatino Linotype" w:hAnsi="Palatino Linotype"/>
                <w:b/>
                <w:sz w:val="18"/>
                <w:szCs w:val="18"/>
              </w:rPr>
            </w:pPr>
            <w:r>
              <w:rPr>
                <w:rFonts w:ascii="Palatino Linotype" w:hAnsi="Palatino Linotype"/>
                <w:b/>
                <w:sz w:val="18"/>
                <w:szCs w:val="18"/>
              </w:rPr>
              <w:t>Architektura zewnętrzna:</w:t>
            </w:r>
          </w:p>
          <w:p w14:paraId="433BEC64" w14:textId="77777777" w:rsidR="00867975" w:rsidRDefault="00867975" w:rsidP="00867975">
            <w:pPr>
              <w:pStyle w:val="Standard"/>
            </w:pPr>
            <w:r>
              <w:rPr>
                <w:rFonts w:ascii="Palatino Linotype" w:hAnsi="Palatino Linotype"/>
                <w:sz w:val="18"/>
                <w:szCs w:val="18"/>
              </w:rPr>
              <w:t>- parking oraz chodniki wykonane z kostki betonowej</w:t>
            </w:r>
          </w:p>
          <w:p w14:paraId="6CE89191"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p>
        </w:tc>
      </w:tr>
      <w:tr w:rsidR="006C336E" w14:paraId="0ACBBFBB" w14:textId="77777777" w:rsidTr="00BD3DE0">
        <w:trPr>
          <w:trHeight w:val="488"/>
        </w:trPr>
        <w:tc>
          <w:tcPr>
            <w:tcW w:w="2763" w:type="dxa"/>
            <w:vMerge/>
            <w:shd w:val="clear" w:color="auto" w:fill="D9D9D9"/>
          </w:tcPr>
          <w:p w14:paraId="7F3AC0A8"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c>
        <w:tc>
          <w:tcPr>
            <w:tcW w:w="3276" w:type="dxa"/>
            <w:gridSpan w:val="2"/>
          </w:tcPr>
          <w:p w14:paraId="0BFDEC90"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liczba lokali w budynku</w:t>
            </w:r>
          </w:p>
        </w:tc>
        <w:tc>
          <w:tcPr>
            <w:tcW w:w="4084" w:type="dxa"/>
            <w:gridSpan w:val="4"/>
          </w:tcPr>
          <w:p w14:paraId="276909C9" w14:textId="1D9FEA41" w:rsidR="00EA34D6" w:rsidRDefault="004247E0" w:rsidP="00EA34D6">
            <w:r>
              <w:t>29</w:t>
            </w:r>
            <w:r w:rsidR="00EA34D6">
              <w:t xml:space="preserve"> lokali mieszkalnych</w:t>
            </w:r>
          </w:p>
          <w:p w14:paraId="03A923B6" w14:textId="77777777" w:rsidR="00A25A11" w:rsidRDefault="00EA34D6">
            <w:pPr>
              <w:rPr>
                <w:rFonts w:ascii="Lato" w:eastAsia="Lato" w:hAnsi="Lato" w:cs="Lato"/>
                <w:color w:val="000000"/>
              </w:rPr>
            </w:pPr>
            <w:r>
              <w:t>3 lokale usługowe</w:t>
            </w:r>
          </w:p>
        </w:tc>
      </w:tr>
      <w:tr w:rsidR="006C336E" w14:paraId="3E96937B" w14:textId="77777777" w:rsidTr="00BD3DE0">
        <w:trPr>
          <w:trHeight w:val="488"/>
        </w:trPr>
        <w:tc>
          <w:tcPr>
            <w:tcW w:w="2763" w:type="dxa"/>
            <w:vMerge/>
            <w:shd w:val="clear" w:color="auto" w:fill="D9D9D9"/>
          </w:tcPr>
          <w:p w14:paraId="45872EC4"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color w:val="000000"/>
              </w:rPr>
            </w:pPr>
          </w:p>
        </w:tc>
        <w:tc>
          <w:tcPr>
            <w:tcW w:w="3276" w:type="dxa"/>
            <w:gridSpan w:val="2"/>
          </w:tcPr>
          <w:p w14:paraId="6E19FA21" w14:textId="0F8885BA"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liczba miejsc garażowych i postojowych</w:t>
            </w:r>
            <w:r w:rsidR="00D02228">
              <w:rPr>
                <w:rFonts w:ascii="Lato" w:eastAsia="Lato" w:hAnsi="Lato" w:cs="Lato"/>
                <w:color w:val="000000"/>
              </w:rPr>
              <w:br/>
            </w:r>
            <w:r w:rsidR="00D02228" w:rsidRPr="000A2679">
              <w:rPr>
                <w:rFonts w:ascii="Lato" w:eastAsia="Lato" w:hAnsi="Lato" w:cs="Lato"/>
                <w:color w:val="000000"/>
                <w:sz w:val="18"/>
              </w:rPr>
              <w:t>(Aktualizacja 29.03.2024 r.)</w:t>
            </w:r>
          </w:p>
        </w:tc>
        <w:tc>
          <w:tcPr>
            <w:tcW w:w="4084" w:type="dxa"/>
            <w:gridSpan w:val="4"/>
          </w:tcPr>
          <w:p w14:paraId="759DB786" w14:textId="4AB60463" w:rsidR="006C336E" w:rsidRDefault="00EA34D6" w:rsidP="00C53FB7">
            <w:pPr>
              <w:jc w:val="left"/>
              <w:rPr>
                <w:rFonts w:ascii="Lato" w:eastAsia="Lato" w:hAnsi="Lato" w:cs="Lato"/>
              </w:rPr>
            </w:pPr>
            <w:r>
              <w:t xml:space="preserve">Garażowych </w:t>
            </w:r>
            <w:r w:rsidR="0047510B">
              <w:t>12</w:t>
            </w:r>
            <w:r w:rsidR="00E41A27">
              <w:t xml:space="preserve"> płatnych</w:t>
            </w:r>
            <w:r w:rsidR="00777FC8">
              <w:t xml:space="preserve"> – </w:t>
            </w:r>
            <w:r w:rsidR="006D07D5">
              <w:t>95</w:t>
            </w:r>
            <w:r w:rsidR="004247E0">
              <w:t>.</w:t>
            </w:r>
            <w:r w:rsidR="00777FC8">
              <w:t>000 zł</w:t>
            </w:r>
            <w:r>
              <w:br/>
              <w:t>postojowych</w:t>
            </w:r>
            <w:r w:rsidR="00E41A27">
              <w:t xml:space="preserve"> na zewnątrz</w:t>
            </w:r>
            <w:r>
              <w:t xml:space="preserve"> 36</w:t>
            </w:r>
            <w:r w:rsidR="00E41A27">
              <w:t xml:space="preserve"> płatnych</w:t>
            </w:r>
            <w:r w:rsidR="00777FC8">
              <w:t xml:space="preserve"> – </w:t>
            </w:r>
            <w:r w:rsidR="00E94720">
              <w:t>60</w:t>
            </w:r>
            <w:r w:rsidR="004247E0">
              <w:t>.</w:t>
            </w:r>
            <w:r w:rsidR="00777FC8">
              <w:t>000 zł</w:t>
            </w:r>
            <w:r w:rsidR="007F40FD">
              <w:br/>
            </w:r>
            <w:r w:rsidR="006D07D5">
              <w:t>2 m</w:t>
            </w:r>
            <w:r w:rsidR="007F40FD">
              <w:t>iejsca postojowe</w:t>
            </w:r>
            <w:r w:rsidR="006D07D5">
              <w:t xml:space="preserve"> zależne</w:t>
            </w:r>
            <w:r w:rsidR="007F40FD">
              <w:t xml:space="preserve"> zewnętrzne (na osobnej KW) – </w:t>
            </w:r>
            <w:r w:rsidR="006D07D5">
              <w:t>90</w:t>
            </w:r>
            <w:r w:rsidR="007F40FD">
              <w:t>.000 zł</w:t>
            </w:r>
            <w:r w:rsidR="00C2492C">
              <w:rPr>
                <w:rStyle w:val="Odwoanieprzypisudolnego"/>
              </w:rPr>
              <w:footnoteReference w:id="10"/>
            </w:r>
          </w:p>
        </w:tc>
      </w:tr>
      <w:tr w:rsidR="006C336E" w14:paraId="2BD8661F" w14:textId="77777777" w:rsidTr="00BD3DE0">
        <w:trPr>
          <w:trHeight w:val="841"/>
        </w:trPr>
        <w:tc>
          <w:tcPr>
            <w:tcW w:w="2763" w:type="dxa"/>
            <w:vMerge/>
            <w:shd w:val="clear" w:color="auto" w:fill="D9D9D9"/>
          </w:tcPr>
          <w:p w14:paraId="31A49CA4"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rPr>
            </w:pPr>
          </w:p>
        </w:tc>
        <w:tc>
          <w:tcPr>
            <w:tcW w:w="3276" w:type="dxa"/>
            <w:gridSpan w:val="2"/>
          </w:tcPr>
          <w:p w14:paraId="131A19F2"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bookmarkStart w:id="8" w:name="_heading=h.z337ya" w:colFirst="0" w:colLast="0"/>
            <w:bookmarkEnd w:id="8"/>
            <w:r>
              <w:rPr>
                <w:rFonts w:ascii="Lato" w:eastAsia="Lato" w:hAnsi="Lato" w:cs="Lato"/>
                <w:color w:val="000000"/>
              </w:rPr>
              <w:t>dostępne media w budynku</w:t>
            </w:r>
          </w:p>
        </w:tc>
        <w:tc>
          <w:tcPr>
            <w:tcW w:w="4084" w:type="dxa"/>
            <w:gridSpan w:val="4"/>
          </w:tcPr>
          <w:p w14:paraId="6B620EA3" w14:textId="77777777" w:rsidR="006C336E" w:rsidRDefault="00EA34D6" w:rsidP="00C53FB7">
            <w:pPr>
              <w:jc w:val="left"/>
              <w:rPr>
                <w:rFonts w:ascii="Lato" w:eastAsia="Lato" w:hAnsi="Lato" w:cs="Lato"/>
              </w:rPr>
            </w:pPr>
            <w:r>
              <w:t>Prąd, woda, kanalizacja</w:t>
            </w:r>
          </w:p>
        </w:tc>
      </w:tr>
      <w:tr w:rsidR="006C336E" w14:paraId="142EB4C7" w14:textId="77777777" w:rsidTr="00BD3DE0">
        <w:trPr>
          <w:trHeight w:val="488"/>
        </w:trPr>
        <w:tc>
          <w:tcPr>
            <w:tcW w:w="2763" w:type="dxa"/>
            <w:vMerge/>
            <w:shd w:val="clear" w:color="auto" w:fill="D9D9D9"/>
          </w:tcPr>
          <w:p w14:paraId="27D2841C" w14:textId="77777777" w:rsidR="006C336E" w:rsidRDefault="006C336E" w:rsidP="00C53FB7">
            <w:pPr>
              <w:widowControl w:val="0"/>
              <w:pBdr>
                <w:top w:val="nil"/>
                <w:left w:val="nil"/>
                <w:bottom w:val="nil"/>
                <w:right w:val="nil"/>
                <w:between w:val="nil"/>
              </w:pBdr>
              <w:spacing w:line="276" w:lineRule="auto"/>
              <w:jc w:val="left"/>
              <w:rPr>
                <w:rFonts w:ascii="Lato" w:eastAsia="Lato" w:hAnsi="Lato" w:cs="Lato"/>
              </w:rPr>
            </w:pPr>
          </w:p>
        </w:tc>
        <w:tc>
          <w:tcPr>
            <w:tcW w:w="3276" w:type="dxa"/>
            <w:gridSpan w:val="2"/>
          </w:tcPr>
          <w:p w14:paraId="5222FFA3"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dostęp do drogi publicznej</w:t>
            </w:r>
          </w:p>
        </w:tc>
        <w:tc>
          <w:tcPr>
            <w:tcW w:w="4084" w:type="dxa"/>
            <w:gridSpan w:val="4"/>
          </w:tcPr>
          <w:p w14:paraId="23B5E569"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t>Poprzez służebność przejazdu</w:t>
            </w:r>
          </w:p>
        </w:tc>
      </w:tr>
      <w:tr w:rsidR="006C336E" w14:paraId="690499FB" w14:textId="77777777" w:rsidTr="00BD3DE0">
        <w:trPr>
          <w:trHeight w:val="612"/>
        </w:trPr>
        <w:tc>
          <w:tcPr>
            <w:tcW w:w="2763" w:type="dxa"/>
            <w:shd w:val="clear" w:color="auto" w:fill="D9D9D9"/>
          </w:tcPr>
          <w:p w14:paraId="5EDA02A5"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 xml:space="preserve">Określenie usytuowania lokalu mieszkalnego w budynku, jeżeli przedsięwzięcie deweloperskie </w:t>
            </w:r>
            <w:r w:rsidR="00253F21">
              <w:rPr>
                <w:rFonts w:ascii="Lato" w:eastAsia="Lato" w:hAnsi="Lato" w:cs="Lato"/>
                <w:color w:val="000000"/>
              </w:rPr>
              <w:t xml:space="preserve">lub zadanie inwestycyjne </w:t>
            </w:r>
            <w:r>
              <w:rPr>
                <w:rFonts w:ascii="Lato" w:eastAsia="Lato" w:hAnsi="Lato" w:cs="Lato"/>
                <w:color w:val="000000"/>
              </w:rPr>
              <w:t>dotyczy lokali mieszkalnych</w:t>
            </w:r>
          </w:p>
        </w:tc>
        <w:tc>
          <w:tcPr>
            <w:tcW w:w="7360" w:type="dxa"/>
            <w:gridSpan w:val="6"/>
          </w:tcPr>
          <w:p w14:paraId="6CA4514D" w14:textId="77777777" w:rsidR="006C336E" w:rsidRDefault="006C336E" w:rsidP="00C53FB7">
            <w:pPr>
              <w:pBdr>
                <w:top w:val="nil"/>
                <w:left w:val="nil"/>
                <w:bottom w:val="nil"/>
                <w:right w:val="nil"/>
                <w:between w:val="nil"/>
              </w:pBdr>
              <w:spacing w:before="30" w:line="276" w:lineRule="auto"/>
              <w:jc w:val="both"/>
              <w:rPr>
                <w:rFonts w:ascii="Lato" w:eastAsia="Lato" w:hAnsi="Lato" w:cs="Lato"/>
                <w:color w:val="000000"/>
              </w:rPr>
            </w:pPr>
            <w:r>
              <w:rPr>
                <w:rFonts w:ascii="Lato" w:eastAsia="Lato" w:hAnsi="Lato" w:cs="Lato"/>
                <w:color w:val="000000"/>
              </w:rPr>
              <w:t>Zgodnie z załącznikiem „karta mieszkania”.</w:t>
            </w:r>
          </w:p>
          <w:p w14:paraId="76CFDD3F" w14:textId="77777777" w:rsidR="006C336E" w:rsidRDefault="006C336E" w:rsidP="00C53FB7">
            <w:pPr>
              <w:pBdr>
                <w:top w:val="nil"/>
                <w:left w:val="nil"/>
                <w:bottom w:val="nil"/>
                <w:right w:val="nil"/>
                <w:between w:val="nil"/>
              </w:pBdr>
              <w:spacing w:line="276" w:lineRule="auto"/>
              <w:jc w:val="both"/>
              <w:rPr>
                <w:rFonts w:ascii="Lato" w:eastAsia="Lato" w:hAnsi="Lato" w:cs="Lato"/>
                <w:color w:val="000000"/>
              </w:rPr>
            </w:pPr>
          </w:p>
          <w:p w14:paraId="1F67B7D8" w14:textId="77777777" w:rsidR="006C336E" w:rsidRDefault="006C336E" w:rsidP="00C53FB7">
            <w:pPr>
              <w:pBdr>
                <w:top w:val="nil"/>
                <w:left w:val="nil"/>
                <w:bottom w:val="nil"/>
                <w:right w:val="nil"/>
                <w:between w:val="nil"/>
              </w:pBdr>
              <w:spacing w:after="200" w:line="276" w:lineRule="auto"/>
              <w:jc w:val="both"/>
              <w:rPr>
                <w:rFonts w:ascii="Lato" w:eastAsia="Lato" w:hAnsi="Lato" w:cs="Lato"/>
                <w:color w:val="000000"/>
              </w:rPr>
            </w:pPr>
          </w:p>
        </w:tc>
      </w:tr>
      <w:tr w:rsidR="006C336E" w14:paraId="7A56006A" w14:textId="77777777" w:rsidTr="00BD3DE0">
        <w:trPr>
          <w:trHeight w:val="612"/>
        </w:trPr>
        <w:tc>
          <w:tcPr>
            <w:tcW w:w="2763" w:type="dxa"/>
            <w:tcBorders>
              <w:bottom w:val="single" w:sz="4" w:space="0" w:color="000000"/>
            </w:tcBorders>
            <w:shd w:val="clear" w:color="auto" w:fill="D9D9D9"/>
          </w:tcPr>
          <w:p w14:paraId="70941B15" w14:textId="77777777" w:rsidR="006C336E" w:rsidRDefault="006C336E" w:rsidP="00C53FB7">
            <w:pPr>
              <w:pBdr>
                <w:top w:val="nil"/>
                <w:left w:val="nil"/>
                <w:bottom w:val="nil"/>
                <w:right w:val="nil"/>
                <w:between w:val="nil"/>
              </w:pBdr>
              <w:spacing w:before="40" w:after="200" w:line="276" w:lineRule="auto"/>
              <w:jc w:val="both"/>
              <w:rPr>
                <w:rFonts w:ascii="Lato" w:eastAsia="Lato" w:hAnsi="Lato" w:cs="Lato"/>
                <w:color w:val="000000"/>
              </w:rPr>
            </w:pPr>
            <w:r>
              <w:rPr>
                <w:rFonts w:ascii="Lato" w:eastAsia="Lato" w:hAnsi="Lato" w:cs="Lato"/>
                <w:color w:val="000000"/>
              </w:rPr>
              <w:t>Określenie powierzchni</w:t>
            </w:r>
            <w:r w:rsidR="00253F21">
              <w:rPr>
                <w:rFonts w:ascii="Lato" w:eastAsia="Lato" w:hAnsi="Lato" w:cs="Lato"/>
                <w:color w:val="000000"/>
              </w:rPr>
              <w:t xml:space="preserve"> użytkowej</w:t>
            </w:r>
            <w:r>
              <w:rPr>
                <w:rFonts w:ascii="Lato" w:eastAsia="Lato" w:hAnsi="Lato" w:cs="Lato"/>
                <w:color w:val="000000"/>
              </w:rPr>
              <w:t xml:space="preserve"> i układu pomieszczeń oraz zakresu i standardu prac wykończeniowych, do których wykonania zobowiązuje się deweloper</w:t>
            </w:r>
          </w:p>
        </w:tc>
        <w:tc>
          <w:tcPr>
            <w:tcW w:w="7360" w:type="dxa"/>
            <w:gridSpan w:val="6"/>
            <w:tcBorders>
              <w:bottom w:val="single" w:sz="4" w:space="0" w:color="000000"/>
            </w:tcBorders>
          </w:tcPr>
          <w:p w14:paraId="7CDFD9DB" w14:textId="77777777" w:rsidR="006C336E" w:rsidRDefault="006C336E" w:rsidP="00C53FB7">
            <w:pPr>
              <w:pBdr>
                <w:top w:val="nil"/>
                <w:left w:val="nil"/>
                <w:bottom w:val="nil"/>
                <w:right w:val="nil"/>
                <w:between w:val="nil"/>
              </w:pBdr>
              <w:spacing w:before="30" w:after="200" w:line="276" w:lineRule="auto"/>
              <w:jc w:val="both"/>
              <w:rPr>
                <w:rFonts w:ascii="Lato" w:eastAsia="Lato" w:hAnsi="Lato" w:cs="Lato"/>
                <w:color w:val="000000"/>
              </w:rPr>
            </w:pPr>
            <w:r>
              <w:rPr>
                <w:rFonts w:ascii="Lato" w:eastAsia="Lato" w:hAnsi="Lato" w:cs="Lato"/>
                <w:color w:val="000000"/>
              </w:rPr>
              <w:t>Zgodnie z załącznikiem „standard wykończenia” i „karta mieszkania”.</w:t>
            </w:r>
          </w:p>
          <w:p w14:paraId="32B58FAF" w14:textId="77777777" w:rsidR="006C336E" w:rsidRDefault="006C336E" w:rsidP="00C53FB7">
            <w:pPr>
              <w:keepLines/>
              <w:widowControl w:val="0"/>
              <w:tabs>
                <w:tab w:val="left" w:pos="3720"/>
                <w:tab w:val="left" w:pos="3930"/>
              </w:tabs>
              <w:spacing w:line="276" w:lineRule="auto"/>
              <w:jc w:val="both"/>
              <w:rPr>
                <w:rFonts w:ascii="Lato" w:eastAsia="Lato" w:hAnsi="Lato" w:cs="Lato"/>
              </w:rPr>
            </w:pPr>
          </w:p>
        </w:tc>
      </w:tr>
      <w:tr w:rsidR="006C336E" w14:paraId="2868DB31" w14:textId="77777777" w:rsidTr="00BD3DE0">
        <w:trPr>
          <w:trHeight w:val="612"/>
        </w:trPr>
        <w:tc>
          <w:tcPr>
            <w:tcW w:w="2763" w:type="dxa"/>
            <w:tcBorders>
              <w:bottom w:val="single" w:sz="4" w:space="0" w:color="000000"/>
            </w:tcBorders>
            <w:shd w:val="clear" w:color="auto" w:fill="D9D9D9"/>
          </w:tcPr>
          <w:p w14:paraId="505AEC86"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D4022D">
              <w:rPr>
                <w:rFonts w:ascii="Lato" w:eastAsia="Lato" w:hAnsi="Lato" w:cs="Lato"/>
                <w:color w:val="000000"/>
              </w:rPr>
              <w:t>Data wydania zaświadczenia o</w:t>
            </w:r>
            <w:r>
              <w:rPr>
                <w:rFonts w:ascii="Lato" w:eastAsia="Lato" w:hAnsi="Lato" w:cs="Lato"/>
                <w:color w:val="000000"/>
              </w:rPr>
              <w:t xml:space="preserve"> </w:t>
            </w:r>
            <w:r w:rsidRPr="00D4022D">
              <w:rPr>
                <w:rFonts w:ascii="Lato" w:eastAsia="Lato" w:hAnsi="Lato" w:cs="Lato"/>
                <w:color w:val="000000"/>
              </w:rPr>
              <w:t>samodzielności lokalu</w:t>
            </w:r>
            <w:r>
              <w:rPr>
                <w:rFonts w:ascii="Lato" w:eastAsia="Lato" w:hAnsi="Lato" w:cs="Lato"/>
                <w:color w:val="000000"/>
              </w:rPr>
              <w:t xml:space="preserve"> </w:t>
            </w:r>
            <w:r w:rsidRPr="00D4022D">
              <w:rPr>
                <w:rFonts w:ascii="Lato" w:eastAsia="Lato" w:hAnsi="Lato" w:cs="Lato"/>
                <w:color w:val="000000"/>
              </w:rPr>
              <w:t>mieszkalnego</w:t>
            </w:r>
          </w:p>
        </w:tc>
        <w:tc>
          <w:tcPr>
            <w:tcW w:w="7360" w:type="dxa"/>
            <w:gridSpan w:val="6"/>
            <w:tcBorders>
              <w:bottom w:val="single" w:sz="4" w:space="0" w:color="000000"/>
            </w:tcBorders>
          </w:tcPr>
          <w:p w14:paraId="4B30C0FF" w14:textId="77777777" w:rsidR="006C336E" w:rsidRPr="00D4022D" w:rsidRDefault="006C336E" w:rsidP="003D41DB">
            <w:pPr>
              <w:pBdr>
                <w:top w:val="nil"/>
                <w:left w:val="nil"/>
                <w:bottom w:val="nil"/>
                <w:right w:val="nil"/>
                <w:between w:val="nil"/>
              </w:pBdr>
              <w:spacing w:before="30" w:after="200" w:line="276" w:lineRule="auto"/>
              <w:jc w:val="both"/>
              <w:rPr>
                <w:rFonts w:ascii="Lato" w:eastAsia="Lato" w:hAnsi="Lato" w:cs="Lato"/>
                <w:color w:val="000000"/>
                <w:highlight w:val="green"/>
              </w:rPr>
            </w:pPr>
          </w:p>
        </w:tc>
      </w:tr>
      <w:tr w:rsidR="006C336E" w14:paraId="67476AFA" w14:textId="77777777" w:rsidTr="00BD3DE0">
        <w:trPr>
          <w:trHeight w:val="612"/>
        </w:trPr>
        <w:tc>
          <w:tcPr>
            <w:tcW w:w="2763" w:type="dxa"/>
            <w:tcBorders>
              <w:bottom w:val="single" w:sz="4" w:space="0" w:color="000000"/>
            </w:tcBorders>
            <w:shd w:val="clear" w:color="auto" w:fill="D9D9D9"/>
          </w:tcPr>
          <w:p w14:paraId="59ADB77F"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D4022D">
              <w:rPr>
                <w:rFonts w:ascii="Lato" w:eastAsia="Lato" w:hAnsi="Lato" w:cs="Lato"/>
                <w:color w:val="000000"/>
              </w:rPr>
              <w:t>Data ustanowienia odrębnej własności lokalu mieszkalnego</w:t>
            </w:r>
          </w:p>
        </w:tc>
        <w:tc>
          <w:tcPr>
            <w:tcW w:w="7360" w:type="dxa"/>
            <w:gridSpan w:val="6"/>
            <w:tcBorders>
              <w:bottom w:val="single" w:sz="4" w:space="0" w:color="000000"/>
            </w:tcBorders>
          </w:tcPr>
          <w:p w14:paraId="78657506" w14:textId="77777777" w:rsidR="006C336E" w:rsidRPr="00D4022D" w:rsidRDefault="00253F21" w:rsidP="00C53FB7">
            <w:pPr>
              <w:pBdr>
                <w:top w:val="nil"/>
                <w:left w:val="nil"/>
                <w:bottom w:val="nil"/>
                <w:right w:val="nil"/>
                <w:between w:val="nil"/>
              </w:pBdr>
              <w:spacing w:before="30"/>
              <w:jc w:val="both"/>
              <w:rPr>
                <w:rFonts w:ascii="Lato" w:eastAsia="Lato" w:hAnsi="Lato" w:cs="Lato"/>
                <w:color w:val="000000"/>
                <w:highlight w:val="green"/>
              </w:rPr>
            </w:pPr>
            <w:r>
              <w:rPr>
                <w:rFonts w:ascii="Lato" w:eastAsia="Lato" w:hAnsi="Lato" w:cs="Lato"/>
                <w:color w:val="000000"/>
              </w:rPr>
              <w:t xml:space="preserve"> </w:t>
            </w:r>
          </w:p>
        </w:tc>
      </w:tr>
      <w:tr w:rsidR="006C336E" w14:paraId="7DB24422" w14:textId="77777777" w:rsidTr="00BD3DE0">
        <w:trPr>
          <w:trHeight w:val="612"/>
        </w:trPr>
        <w:tc>
          <w:tcPr>
            <w:tcW w:w="2763" w:type="dxa"/>
            <w:tcBorders>
              <w:bottom w:val="single" w:sz="4" w:space="0" w:color="000000"/>
            </w:tcBorders>
            <w:shd w:val="clear" w:color="auto" w:fill="D9D9D9"/>
          </w:tcPr>
          <w:p w14:paraId="39DFE624"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D4022D">
              <w:rPr>
                <w:rFonts w:ascii="Lato" w:eastAsia="Lato" w:hAnsi="Lato" w:cs="Lato"/>
                <w:color w:val="000000"/>
              </w:rPr>
              <w:lastRenderedPageBreak/>
              <w:t>Informacje o lokalu użytkowym nabywanym równocześnie z lokalem mieszkalnym albo domem jednorodzinnym</w:t>
            </w:r>
          </w:p>
        </w:tc>
        <w:tc>
          <w:tcPr>
            <w:tcW w:w="7360" w:type="dxa"/>
            <w:gridSpan w:val="6"/>
            <w:tcBorders>
              <w:bottom w:val="single" w:sz="4" w:space="0" w:color="000000"/>
            </w:tcBorders>
          </w:tcPr>
          <w:p w14:paraId="5D8CCD71" w14:textId="77777777" w:rsidR="006C336E" w:rsidRPr="00D4022D" w:rsidRDefault="006C336E" w:rsidP="00C53FB7">
            <w:pPr>
              <w:pBdr>
                <w:top w:val="nil"/>
                <w:left w:val="nil"/>
                <w:bottom w:val="nil"/>
                <w:right w:val="nil"/>
                <w:between w:val="nil"/>
              </w:pBdr>
              <w:spacing w:before="30"/>
              <w:jc w:val="both"/>
              <w:rPr>
                <w:rFonts w:ascii="Lato" w:eastAsia="Lato" w:hAnsi="Lato" w:cs="Lato"/>
                <w:color w:val="000000"/>
                <w:highlight w:val="green"/>
              </w:rPr>
            </w:pPr>
            <w:r>
              <w:rPr>
                <w:rFonts w:ascii="Lato" w:eastAsia="Lato" w:hAnsi="Lato" w:cs="Lato"/>
                <w:color w:val="000000"/>
              </w:rPr>
              <w:t>brak</w:t>
            </w:r>
          </w:p>
        </w:tc>
      </w:tr>
      <w:tr w:rsidR="006C336E" w14:paraId="70000B22" w14:textId="77777777" w:rsidTr="00BD3DE0">
        <w:trPr>
          <w:trHeight w:val="612"/>
        </w:trPr>
        <w:tc>
          <w:tcPr>
            <w:tcW w:w="2763" w:type="dxa"/>
            <w:tcBorders>
              <w:bottom w:val="single" w:sz="4" w:space="0" w:color="000000"/>
            </w:tcBorders>
            <w:shd w:val="clear" w:color="auto" w:fill="D9D9D9"/>
          </w:tcPr>
          <w:p w14:paraId="3AECD59F"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D4022D">
              <w:rPr>
                <w:rFonts w:ascii="Lato" w:eastAsia="Lato" w:hAnsi="Lato" w:cs="Lato"/>
                <w:color w:val="000000"/>
              </w:rPr>
              <w:t>Cenę lokalu użytkowego albo ułamkowej części własności lokalu użytkowego</w:t>
            </w:r>
          </w:p>
        </w:tc>
        <w:tc>
          <w:tcPr>
            <w:tcW w:w="7360" w:type="dxa"/>
            <w:gridSpan w:val="6"/>
            <w:tcBorders>
              <w:bottom w:val="single" w:sz="4" w:space="0" w:color="000000"/>
            </w:tcBorders>
          </w:tcPr>
          <w:p w14:paraId="2ACC059C" w14:textId="77777777" w:rsidR="006C336E" w:rsidRPr="00D4022D" w:rsidRDefault="006C336E" w:rsidP="00C53FB7">
            <w:pPr>
              <w:pBdr>
                <w:top w:val="nil"/>
                <w:left w:val="nil"/>
                <w:bottom w:val="nil"/>
                <w:right w:val="nil"/>
                <w:between w:val="nil"/>
              </w:pBdr>
              <w:spacing w:before="30"/>
              <w:jc w:val="both"/>
              <w:rPr>
                <w:rFonts w:ascii="Lato" w:eastAsia="Lato" w:hAnsi="Lato" w:cs="Lato"/>
                <w:color w:val="000000"/>
                <w:highlight w:val="green"/>
              </w:rPr>
            </w:pPr>
            <w:r>
              <w:rPr>
                <w:rFonts w:ascii="Lato" w:eastAsia="Lato" w:hAnsi="Lato" w:cs="Lato"/>
                <w:color w:val="000000"/>
              </w:rPr>
              <w:t>brak</w:t>
            </w:r>
          </w:p>
        </w:tc>
      </w:tr>
      <w:tr w:rsidR="006C336E" w14:paraId="1FAA1C05" w14:textId="77777777" w:rsidTr="00BD3DE0">
        <w:trPr>
          <w:trHeight w:val="612"/>
        </w:trPr>
        <w:tc>
          <w:tcPr>
            <w:tcW w:w="2763" w:type="dxa"/>
            <w:tcBorders>
              <w:bottom w:val="single" w:sz="4" w:space="0" w:color="000000"/>
            </w:tcBorders>
            <w:shd w:val="clear" w:color="auto" w:fill="D9D9D9"/>
          </w:tcPr>
          <w:p w14:paraId="4CB812E8" w14:textId="77777777" w:rsidR="006C336E" w:rsidRDefault="006C336E" w:rsidP="00C53FB7">
            <w:pPr>
              <w:pBdr>
                <w:top w:val="nil"/>
                <w:left w:val="nil"/>
                <w:bottom w:val="nil"/>
                <w:right w:val="nil"/>
                <w:between w:val="nil"/>
              </w:pBdr>
              <w:spacing w:before="40"/>
              <w:jc w:val="both"/>
              <w:rPr>
                <w:rFonts w:ascii="Lato" w:eastAsia="Lato" w:hAnsi="Lato" w:cs="Lato"/>
                <w:color w:val="000000"/>
              </w:rPr>
            </w:pPr>
            <w:r w:rsidRPr="00D4022D">
              <w:rPr>
                <w:rFonts w:ascii="Lato" w:eastAsia="Lato" w:hAnsi="Lato" w:cs="Lato"/>
                <w:color w:val="000000"/>
              </w:rPr>
              <w:t>Termin, do którego nastąpi przeniesienie prawa własności lokalu użytkowego albo ułamkowej części własności lokalu użytkowego</w:t>
            </w:r>
          </w:p>
        </w:tc>
        <w:tc>
          <w:tcPr>
            <w:tcW w:w="7360" w:type="dxa"/>
            <w:gridSpan w:val="6"/>
            <w:tcBorders>
              <w:bottom w:val="single" w:sz="4" w:space="0" w:color="000000"/>
            </w:tcBorders>
          </w:tcPr>
          <w:p w14:paraId="4CBA3C5A" w14:textId="77777777" w:rsidR="006C336E" w:rsidRPr="00D4022D" w:rsidRDefault="006C336E" w:rsidP="003D41DB">
            <w:pPr>
              <w:pBdr>
                <w:top w:val="nil"/>
                <w:left w:val="nil"/>
                <w:bottom w:val="nil"/>
                <w:right w:val="nil"/>
                <w:between w:val="nil"/>
              </w:pBdr>
              <w:spacing w:before="30"/>
              <w:jc w:val="both"/>
              <w:rPr>
                <w:rFonts w:ascii="Lato" w:eastAsia="Lato" w:hAnsi="Lato" w:cs="Lato"/>
                <w:color w:val="000000"/>
                <w:highlight w:val="green"/>
              </w:rPr>
            </w:pPr>
            <w:r>
              <w:rPr>
                <w:rFonts w:ascii="Lato" w:eastAsia="Lato" w:hAnsi="Lato" w:cs="Lato"/>
                <w:color w:val="000000"/>
              </w:rPr>
              <w:t>brak</w:t>
            </w:r>
          </w:p>
        </w:tc>
      </w:tr>
      <w:tr w:rsidR="006C336E" w14:paraId="26B98556" w14:textId="77777777" w:rsidTr="00BD3DE0">
        <w:trPr>
          <w:trHeight w:val="612"/>
        </w:trPr>
        <w:tc>
          <w:tcPr>
            <w:tcW w:w="2763" w:type="dxa"/>
            <w:tcBorders>
              <w:left w:val="nil"/>
              <w:bottom w:val="nil"/>
              <w:right w:val="nil"/>
            </w:tcBorders>
            <w:shd w:val="clear" w:color="auto" w:fill="auto"/>
          </w:tcPr>
          <w:p w14:paraId="5C019EB1" w14:textId="77777777" w:rsidR="006C336E" w:rsidRDefault="006C336E" w:rsidP="00C53FB7">
            <w:pPr>
              <w:pBdr>
                <w:top w:val="nil"/>
                <w:left w:val="nil"/>
                <w:bottom w:val="nil"/>
                <w:right w:val="nil"/>
                <w:between w:val="nil"/>
              </w:pBdr>
              <w:spacing w:after="200" w:line="276" w:lineRule="auto"/>
              <w:jc w:val="left"/>
              <w:rPr>
                <w:rFonts w:ascii="Lato" w:eastAsia="Lato" w:hAnsi="Lato" w:cs="Lato"/>
                <w:color w:val="000000"/>
              </w:rPr>
            </w:pPr>
          </w:p>
        </w:tc>
        <w:tc>
          <w:tcPr>
            <w:tcW w:w="1095" w:type="dxa"/>
            <w:tcBorders>
              <w:left w:val="nil"/>
              <w:bottom w:val="nil"/>
              <w:right w:val="nil"/>
            </w:tcBorders>
          </w:tcPr>
          <w:p w14:paraId="4531D2F4" w14:textId="77777777" w:rsidR="006C336E" w:rsidRDefault="006C336E" w:rsidP="00C53FB7">
            <w:pPr>
              <w:pBdr>
                <w:top w:val="nil"/>
                <w:left w:val="nil"/>
                <w:bottom w:val="nil"/>
                <w:right w:val="nil"/>
                <w:between w:val="nil"/>
              </w:pBdr>
              <w:spacing w:after="200" w:line="276" w:lineRule="auto"/>
              <w:jc w:val="both"/>
              <w:rPr>
                <w:rFonts w:ascii="Lato" w:eastAsia="Lato" w:hAnsi="Lato" w:cs="Lato"/>
                <w:color w:val="000000"/>
              </w:rPr>
            </w:pPr>
          </w:p>
        </w:tc>
        <w:tc>
          <w:tcPr>
            <w:tcW w:w="4979" w:type="dxa"/>
            <w:gridSpan w:val="4"/>
            <w:tcBorders>
              <w:top w:val="nil"/>
              <w:left w:val="nil"/>
              <w:bottom w:val="nil"/>
              <w:right w:val="nil"/>
            </w:tcBorders>
            <w:vAlign w:val="bottom"/>
          </w:tcPr>
          <w:p w14:paraId="2376AEA3" w14:textId="77777777" w:rsidR="00253F21" w:rsidRDefault="00253F21" w:rsidP="00C53FB7">
            <w:pPr>
              <w:pBdr>
                <w:top w:val="nil"/>
                <w:left w:val="nil"/>
                <w:bottom w:val="nil"/>
                <w:right w:val="nil"/>
                <w:between w:val="nil"/>
              </w:pBdr>
              <w:spacing w:after="200" w:line="276" w:lineRule="auto"/>
              <w:jc w:val="left"/>
              <w:rPr>
                <w:rFonts w:ascii="Lato" w:eastAsia="Lato" w:hAnsi="Lato" w:cs="Lato"/>
                <w:b/>
                <w:color w:val="000000"/>
              </w:rPr>
            </w:pPr>
          </w:p>
          <w:p w14:paraId="1B166E72" w14:textId="77777777" w:rsidR="00253F21" w:rsidRDefault="00253F21" w:rsidP="00C53FB7">
            <w:pPr>
              <w:pBdr>
                <w:top w:val="nil"/>
                <w:left w:val="nil"/>
                <w:bottom w:val="nil"/>
                <w:right w:val="nil"/>
                <w:between w:val="nil"/>
              </w:pBdr>
              <w:spacing w:after="200" w:line="276" w:lineRule="auto"/>
              <w:jc w:val="left"/>
              <w:rPr>
                <w:rFonts w:ascii="Lato" w:eastAsia="Lato" w:hAnsi="Lato" w:cs="Lato"/>
                <w:b/>
                <w:color w:val="000000"/>
              </w:rPr>
            </w:pPr>
            <w:r>
              <w:t>Podpis dewelopera albo osoby upoważnionej do reprezentacji dewelopera</w:t>
            </w:r>
            <w:r w:rsidR="006C336E">
              <w:rPr>
                <w:rFonts w:ascii="Lato" w:eastAsia="Lato" w:hAnsi="Lato" w:cs="Lato"/>
                <w:b/>
                <w:color w:val="000000"/>
              </w:rPr>
              <w:t xml:space="preserve">                         ……………………………………………</w:t>
            </w:r>
          </w:p>
          <w:p w14:paraId="4697CCFA" w14:textId="77777777" w:rsidR="00253F21" w:rsidRDefault="00253F21" w:rsidP="00C53FB7">
            <w:pPr>
              <w:pBdr>
                <w:top w:val="nil"/>
                <w:left w:val="nil"/>
                <w:bottom w:val="nil"/>
                <w:right w:val="nil"/>
                <w:between w:val="nil"/>
              </w:pBdr>
              <w:spacing w:after="200" w:line="276" w:lineRule="auto"/>
              <w:jc w:val="left"/>
              <w:rPr>
                <w:rFonts w:ascii="Lato" w:eastAsia="Lato" w:hAnsi="Lato" w:cs="Lato"/>
                <w:b/>
                <w:color w:val="000000"/>
              </w:rPr>
            </w:pPr>
          </w:p>
        </w:tc>
        <w:tc>
          <w:tcPr>
            <w:tcW w:w="1286" w:type="dxa"/>
            <w:tcBorders>
              <w:left w:val="nil"/>
              <w:bottom w:val="nil"/>
              <w:right w:val="nil"/>
            </w:tcBorders>
          </w:tcPr>
          <w:p w14:paraId="489F6A30" w14:textId="77777777" w:rsidR="006C336E" w:rsidRDefault="006C336E" w:rsidP="00C53FB7">
            <w:pPr>
              <w:pBdr>
                <w:top w:val="nil"/>
                <w:left w:val="nil"/>
                <w:bottom w:val="nil"/>
                <w:right w:val="nil"/>
                <w:between w:val="nil"/>
              </w:pBdr>
              <w:spacing w:after="200" w:line="276" w:lineRule="auto"/>
              <w:jc w:val="both"/>
              <w:rPr>
                <w:rFonts w:ascii="Lato" w:eastAsia="Lato" w:hAnsi="Lato" w:cs="Lato"/>
                <w:b/>
                <w:color w:val="000000"/>
              </w:rPr>
            </w:pPr>
          </w:p>
        </w:tc>
      </w:tr>
      <w:tr w:rsidR="006C336E" w14:paraId="0DCE2FBB" w14:textId="77777777" w:rsidTr="00BD3DE0">
        <w:trPr>
          <w:trHeight w:val="612"/>
        </w:trPr>
        <w:tc>
          <w:tcPr>
            <w:tcW w:w="2763" w:type="dxa"/>
            <w:tcBorders>
              <w:top w:val="nil"/>
              <w:left w:val="nil"/>
              <w:bottom w:val="nil"/>
              <w:right w:val="nil"/>
            </w:tcBorders>
            <w:shd w:val="clear" w:color="auto" w:fill="auto"/>
          </w:tcPr>
          <w:p w14:paraId="363CFC2D" w14:textId="77777777" w:rsidR="006C336E" w:rsidRDefault="006C336E" w:rsidP="00C53FB7">
            <w:pPr>
              <w:pBdr>
                <w:top w:val="nil"/>
                <w:left w:val="nil"/>
                <w:bottom w:val="nil"/>
                <w:right w:val="nil"/>
                <w:between w:val="nil"/>
              </w:pBdr>
              <w:spacing w:after="200" w:line="276" w:lineRule="auto"/>
              <w:jc w:val="left"/>
              <w:rPr>
                <w:rFonts w:ascii="Lato" w:eastAsia="Lato" w:hAnsi="Lato" w:cs="Lato"/>
                <w:color w:val="000000"/>
              </w:rPr>
            </w:pPr>
          </w:p>
        </w:tc>
        <w:tc>
          <w:tcPr>
            <w:tcW w:w="1095" w:type="dxa"/>
            <w:tcBorders>
              <w:top w:val="nil"/>
              <w:left w:val="nil"/>
              <w:bottom w:val="nil"/>
              <w:right w:val="nil"/>
            </w:tcBorders>
          </w:tcPr>
          <w:p w14:paraId="5CA30C35" w14:textId="77777777" w:rsidR="006C336E" w:rsidRDefault="006C336E" w:rsidP="00C53FB7">
            <w:pPr>
              <w:pBdr>
                <w:top w:val="nil"/>
                <w:left w:val="nil"/>
                <w:bottom w:val="nil"/>
                <w:right w:val="nil"/>
                <w:between w:val="nil"/>
              </w:pBdr>
              <w:spacing w:after="200" w:line="276" w:lineRule="auto"/>
              <w:jc w:val="both"/>
              <w:rPr>
                <w:rFonts w:ascii="Lato" w:eastAsia="Lato" w:hAnsi="Lato" w:cs="Lato"/>
                <w:color w:val="000000"/>
              </w:rPr>
            </w:pPr>
          </w:p>
        </w:tc>
        <w:tc>
          <w:tcPr>
            <w:tcW w:w="4979" w:type="dxa"/>
            <w:gridSpan w:val="4"/>
            <w:tcBorders>
              <w:top w:val="nil"/>
              <w:left w:val="nil"/>
              <w:bottom w:val="nil"/>
              <w:right w:val="nil"/>
            </w:tcBorders>
            <w:vAlign w:val="bottom"/>
          </w:tcPr>
          <w:p w14:paraId="7618407E" w14:textId="77777777" w:rsidR="006C336E" w:rsidRDefault="006C336E" w:rsidP="00C53FB7">
            <w:pPr>
              <w:pBdr>
                <w:top w:val="nil"/>
                <w:left w:val="nil"/>
                <w:bottom w:val="nil"/>
                <w:right w:val="nil"/>
                <w:between w:val="nil"/>
              </w:pBdr>
              <w:spacing w:after="200" w:line="276" w:lineRule="auto"/>
              <w:jc w:val="left"/>
              <w:rPr>
                <w:rFonts w:ascii="Lato" w:eastAsia="Lato" w:hAnsi="Lato" w:cs="Lato"/>
                <w:b/>
                <w:color w:val="000000"/>
              </w:rPr>
            </w:pPr>
          </w:p>
        </w:tc>
        <w:tc>
          <w:tcPr>
            <w:tcW w:w="1286" w:type="dxa"/>
            <w:tcBorders>
              <w:top w:val="nil"/>
              <w:left w:val="nil"/>
              <w:bottom w:val="nil"/>
              <w:right w:val="nil"/>
            </w:tcBorders>
          </w:tcPr>
          <w:p w14:paraId="1B6F098D" w14:textId="77777777" w:rsidR="006C336E" w:rsidRDefault="006C336E" w:rsidP="00C53FB7">
            <w:pPr>
              <w:pBdr>
                <w:top w:val="nil"/>
                <w:left w:val="nil"/>
                <w:bottom w:val="nil"/>
                <w:right w:val="nil"/>
                <w:between w:val="nil"/>
              </w:pBdr>
              <w:spacing w:after="200" w:line="276" w:lineRule="auto"/>
              <w:jc w:val="both"/>
              <w:rPr>
                <w:rFonts w:ascii="Lato" w:eastAsia="Lato" w:hAnsi="Lato" w:cs="Lato"/>
                <w:b/>
                <w:color w:val="000000"/>
              </w:rPr>
            </w:pPr>
          </w:p>
        </w:tc>
      </w:tr>
    </w:tbl>
    <w:p w14:paraId="3A09D3AE" w14:textId="3B50B245" w:rsidR="00253F21" w:rsidRDefault="00253F21">
      <w:r>
        <w:t>Załączniki</w:t>
      </w:r>
      <w:r w:rsidR="00D02228" w:rsidRPr="000A2679">
        <w:rPr>
          <w:rFonts w:ascii="Lato" w:eastAsia="Lato" w:hAnsi="Lato" w:cs="Lato"/>
          <w:color w:val="000000"/>
          <w:sz w:val="18"/>
        </w:rPr>
        <w:t>(Aktualizacja 29.03.2024 r.)</w:t>
      </w:r>
      <w:r>
        <w:t xml:space="preserve">: </w:t>
      </w:r>
      <w:r w:rsidR="00654CF7">
        <w:rPr>
          <w:rStyle w:val="Odwoanieprzypisudolnego"/>
        </w:rPr>
        <w:footnoteReference w:id="11"/>
      </w:r>
    </w:p>
    <w:p w14:paraId="260A7D46" w14:textId="1635C8FA" w:rsidR="00253F21" w:rsidRDefault="00253F21">
      <w:r>
        <w:t>1. Rzut kondygnacji z zaznaczeniem lokalu mieszkalnego</w:t>
      </w:r>
      <w:r w:rsidR="001223D5">
        <w:t xml:space="preserve"> (karta lokalu)</w:t>
      </w:r>
    </w:p>
    <w:p w14:paraId="7B74AFB5" w14:textId="77777777" w:rsidR="00253F21" w:rsidRDefault="00253F21">
      <w:r>
        <w:t xml:space="preserve">2. Wzór umowy deweloperskiej </w:t>
      </w:r>
    </w:p>
    <w:p w14:paraId="4685A552" w14:textId="77777777" w:rsidR="005E443E" w:rsidRDefault="00253F21">
      <w: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10240A4B" w14:textId="77777777" w:rsidR="00253F21" w:rsidRDefault="00253F21">
      <w:r>
        <w:t>4. Standard wykończenia</w:t>
      </w:r>
    </w:p>
    <w:p w14:paraId="51AB8802" w14:textId="594CCB2E" w:rsidR="00253F21" w:rsidRDefault="00253F21">
      <w:pPr>
        <w:rPr>
          <w:rFonts w:ascii="Lato" w:eastAsia="Lato" w:hAnsi="Lato" w:cs="Lato"/>
        </w:rPr>
      </w:pPr>
    </w:p>
    <w:sectPr w:rsidR="00253F21" w:rsidSect="00901F0A">
      <w:pgSz w:w="11906" w:h="16838"/>
      <w:pgMar w:top="964" w:right="624" w:bottom="1134"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B7BD" w14:textId="77777777" w:rsidR="00EA5FD5" w:rsidRDefault="00EA5FD5">
      <w:pPr>
        <w:spacing w:after="0" w:line="240" w:lineRule="auto"/>
      </w:pPr>
      <w:r>
        <w:separator/>
      </w:r>
    </w:p>
  </w:endnote>
  <w:endnote w:type="continuationSeparator" w:id="0">
    <w:p w14:paraId="55903A3B" w14:textId="77777777" w:rsidR="00EA5FD5" w:rsidRDefault="00EA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CE Normalny">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ato">
    <w:charset w:val="00"/>
    <w:family w:val="swiss"/>
    <w:pitch w:val="variable"/>
    <w:sig w:usb0="E10002FF" w:usb1="5000ECFF" w:usb2="0000002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3024" w14:textId="77777777" w:rsidR="00EA5FD5" w:rsidRDefault="00EA5FD5">
      <w:pPr>
        <w:spacing w:after="0" w:line="240" w:lineRule="auto"/>
      </w:pPr>
      <w:r>
        <w:separator/>
      </w:r>
    </w:p>
  </w:footnote>
  <w:footnote w:type="continuationSeparator" w:id="0">
    <w:p w14:paraId="7CB4179D" w14:textId="77777777" w:rsidR="00EA5FD5" w:rsidRDefault="00EA5FD5">
      <w:pPr>
        <w:spacing w:after="0" w:line="240" w:lineRule="auto"/>
      </w:pPr>
      <w:r>
        <w:continuationSeparator/>
      </w:r>
    </w:p>
  </w:footnote>
  <w:footnote w:id="1">
    <w:p w14:paraId="469BF15B" w14:textId="5404FB04" w:rsidR="00372BEE" w:rsidRDefault="00372BEE">
      <w:pPr>
        <w:pStyle w:val="Tekstprzypisudolnego"/>
      </w:pPr>
      <w:r>
        <w:rPr>
          <w:rStyle w:val="Odwoanieprzypisudolnego"/>
        </w:rPr>
        <w:footnoteRef/>
      </w:r>
      <w:r>
        <w:t xml:space="preserve"> zmiana z dnia </w:t>
      </w:r>
      <w:r w:rsidR="004D13ED">
        <w:t xml:space="preserve">29.03.2024 </w:t>
      </w:r>
      <w:r>
        <w:t xml:space="preserve">r. (dotychczas </w:t>
      </w:r>
      <w:r w:rsidR="004D13ED">
        <w:t>15</w:t>
      </w:r>
      <w:r>
        <w:t>.</w:t>
      </w:r>
      <w:r w:rsidR="004D13ED">
        <w:t>11</w:t>
      </w:r>
      <w:r>
        <w:t>.2023r.)</w:t>
      </w:r>
    </w:p>
  </w:footnote>
  <w:footnote w:id="2">
    <w:p w14:paraId="398CB006" w14:textId="5103C654" w:rsidR="00372BEE" w:rsidRDefault="00372BEE" w:rsidP="00A863BA">
      <w:pPr>
        <w:pBdr>
          <w:top w:val="nil"/>
          <w:left w:val="nil"/>
          <w:bottom w:val="nil"/>
          <w:right w:val="nil"/>
          <w:between w:val="nil"/>
        </w:pBdr>
        <w:jc w:val="both"/>
      </w:pPr>
      <w:r>
        <w:rPr>
          <w:vertAlign w:val="superscript"/>
        </w:rPr>
        <w:footnoteRef/>
      </w:r>
      <w:r>
        <w:t xml:space="preserve">zmiana z dnia </w:t>
      </w:r>
      <w:r w:rsidR="006B30D8">
        <w:t>29</w:t>
      </w:r>
      <w:r>
        <w:t>.</w:t>
      </w:r>
      <w:r w:rsidR="006B30D8">
        <w:t>03</w:t>
      </w:r>
      <w:r>
        <w:t>.202</w:t>
      </w:r>
      <w:r w:rsidR="006B30D8">
        <w:t>4</w:t>
      </w:r>
      <w:r>
        <w:t>r. (dotychczas „</w:t>
      </w:r>
      <w:r w:rsidR="006B30D8">
        <w:t xml:space="preserve">Deweloper prowadzi czynności w celu </w:t>
      </w:r>
      <w:r w:rsidR="006B30D8" w:rsidRPr="00CD5EF2">
        <w:rPr>
          <w:u w:val="single"/>
        </w:rPr>
        <w:t>podziału działki 14 na 3 działki, z której zostanie wydzielona osobna działka dla budynku Jedności Narodowej 228, Jedności Narodowej</w:t>
      </w:r>
      <w:r w:rsidR="006B30D8">
        <w:t xml:space="preserve"> 226, a także osobna działka pod miejsca parkingowe pomiędzy budynkami 226 i 228</w:t>
      </w:r>
      <w:r>
        <w:t>”).</w:t>
      </w:r>
    </w:p>
    <w:p w14:paraId="69BD59B7" w14:textId="6549B9E8" w:rsidR="00372BEE" w:rsidRDefault="00372BEE">
      <w:pPr>
        <w:pBdr>
          <w:top w:val="nil"/>
          <w:left w:val="nil"/>
          <w:bottom w:val="nil"/>
          <w:right w:val="nil"/>
          <w:between w:val="nil"/>
        </w:pBdr>
        <w:spacing w:after="0" w:line="240" w:lineRule="auto"/>
        <w:rPr>
          <w:rFonts w:eastAsia="Calibri"/>
          <w:color w:val="000000"/>
          <w:sz w:val="20"/>
          <w:szCs w:val="20"/>
        </w:rPr>
      </w:pPr>
    </w:p>
  </w:footnote>
  <w:footnote w:id="3">
    <w:p w14:paraId="2027BA7E" w14:textId="77777777" w:rsidR="00372BEE" w:rsidRDefault="00372BEE">
      <w:pPr>
        <w:pBdr>
          <w:top w:val="nil"/>
          <w:left w:val="nil"/>
          <w:bottom w:val="nil"/>
          <w:right w:val="nil"/>
          <w:between w:val="nil"/>
        </w:pBdr>
        <w:spacing w:after="0" w:line="240" w:lineRule="auto"/>
        <w:rPr>
          <w:rFonts w:eastAsia="Calibri"/>
          <w:color w:val="000000"/>
          <w:sz w:val="20"/>
          <w:szCs w:val="20"/>
        </w:rPr>
      </w:pPr>
      <w:r>
        <w:rPr>
          <w:vertAlign w:val="superscript"/>
        </w:rPr>
        <w:footnoteRef/>
      </w:r>
      <w:r>
        <w:rPr>
          <w:rFonts w:eastAsia="Calibri"/>
          <w:color w:val="000000"/>
          <w:sz w:val="20"/>
          <w:szCs w:val="20"/>
        </w:rPr>
        <w:t xml:space="preserve"> W szczególności imię i nazwisko albo nazwa (firma) właściciela lub użytkownika wieczystego oraz istniejące obciążenia na nieruchomości.</w:t>
      </w:r>
    </w:p>
  </w:footnote>
  <w:footnote w:id="4">
    <w:p w14:paraId="6693427F" w14:textId="582565DA" w:rsidR="004D13ED" w:rsidRDefault="004D13ED">
      <w:pPr>
        <w:pStyle w:val="Tekstprzypisudolnego"/>
      </w:pPr>
    </w:p>
  </w:footnote>
  <w:footnote w:id="5">
    <w:p w14:paraId="0E4568E6" w14:textId="5D0B9A41" w:rsidR="00372BEE" w:rsidRDefault="00372BEE">
      <w:pPr>
        <w:pStyle w:val="Tekstprzypisudolnego"/>
      </w:pPr>
      <w:r>
        <w:rPr>
          <w:rStyle w:val="Odwoanieprzypisudolnego"/>
        </w:rPr>
        <w:footnoteRef/>
      </w:r>
      <w:r>
        <w:t xml:space="preserve"> zmiana z dnia </w:t>
      </w:r>
      <w:r w:rsidR="004D13ED">
        <w:t>29</w:t>
      </w:r>
      <w:r>
        <w:t>.</w:t>
      </w:r>
      <w:r w:rsidR="004D13ED">
        <w:t>03</w:t>
      </w:r>
      <w:r>
        <w:t>.202</w:t>
      </w:r>
      <w:r w:rsidR="004D13ED">
        <w:t>4</w:t>
      </w:r>
      <w:r>
        <w:t xml:space="preserve">r. (dotychczas IV kwartał 2023r.) </w:t>
      </w:r>
    </w:p>
  </w:footnote>
  <w:footnote w:id="6">
    <w:p w14:paraId="39F9F82A" w14:textId="23ACB10B" w:rsidR="00372BEE" w:rsidRDefault="00372BEE">
      <w:pPr>
        <w:pStyle w:val="Tekstprzypisudolnego"/>
      </w:pPr>
      <w:r>
        <w:rPr>
          <w:rStyle w:val="Odwoanieprzypisudolnego"/>
        </w:rPr>
        <w:footnoteRef/>
      </w:r>
      <w:r>
        <w:t xml:space="preserve"> zmiana z dnia </w:t>
      </w:r>
      <w:r w:rsidR="004D13ED">
        <w:t>29.03.</w:t>
      </w:r>
      <w:r>
        <w:t>202</w:t>
      </w:r>
      <w:r w:rsidR="004D13ED">
        <w:t>4</w:t>
      </w:r>
      <w:r>
        <w:t xml:space="preserve">r. (dotychczas 30 </w:t>
      </w:r>
      <w:r w:rsidR="004D13ED">
        <w:t xml:space="preserve">marca </w:t>
      </w:r>
      <w:r>
        <w:t>202</w:t>
      </w:r>
      <w:r w:rsidR="004D13ED">
        <w:t>4</w:t>
      </w:r>
      <w:r>
        <w:t>r.)</w:t>
      </w:r>
    </w:p>
  </w:footnote>
  <w:footnote w:id="7">
    <w:p w14:paraId="08D7DCFF" w14:textId="036F4DF9" w:rsidR="00A62B98" w:rsidRDefault="00A62B98">
      <w:pPr>
        <w:pStyle w:val="Tekstprzypisudolnego"/>
      </w:pPr>
      <w:r>
        <w:rPr>
          <w:rStyle w:val="Odwoanieprzypisudolnego"/>
        </w:rPr>
        <w:footnoteRef/>
      </w:r>
      <w:r>
        <w:t xml:space="preserve"> Z</w:t>
      </w:r>
      <w:r w:rsidRPr="00A62B98">
        <w:t>miana 29.03.2024 r. (dotychczas „</w:t>
      </w:r>
      <w:r w:rsidRPr="00A62B98">
        <w:rPr>
          <w:rFonts w:ascii="Palatino Linotype" w:hAnsi="Palatino Linotype"/>
          <w:sz w:val="18"/>
          <w:szCs w:val="18"/>
        </w:rPr>
        <w:t>w przypadku gdy Deweloper nie zawrze umowy mieszkaniowego rachunku powierniczego z innym bankiem w trybie i terminie, o których mowa w art. 10 ust. 1 Nowej Ustawy Deweloperskiej</w:t>
      </w:r>
      <w:r w:rsidRPr="00A62B98">
        <w:t>”)</w:t>
      </w:r>
    </w:p>
  </w:footnote>
  <w:footnote w:id="8">
    <w:p w14:paraId="21CB84BD" w14:textId="017C04F6" w:rsidR="00372BEE" w:rsidRDefault="00372BEE">
      <w:pPr>
        <w:pStyle w:val="Tekstprzypisudolnego"/>
      </w:pPr>
      <w:r>
        <w:rPr>
          <w:rStyle w:val="Odwoanieprzypisudolnego"/>
        </w:rPr>
        <w:footnoteRef/>
      </w:r>
      <w:r>
        <w:t xml:space="preserve"> zmiana z </w:t>
      </w:r>
      <w:r w:rsidR="00303A41">
        <w:t>29</w:t>
      </w:r>
      <w:r>
        <w:t>.</w:t>
      </w:r>
      <w:r w:rsidR="00303A41">
        <w:t>03</w:t>
      </w:r>
      <w:r>
        <w:t>.202</w:t>
      </w:r>
      <w:r w:rsidR="00303A41">
        <w:t>4</w:t>
      </w:r>
      <w:r>
        <w:t>r. (dotychczas 3</w:t>
      </w:r>
      <w:r w:rsidR="00303A41">
        <w:t>0</w:t>
      </w:r>
      <w:r>
        <w:t>.0</w:t>
      </w:r>
      <w:r w:rsidR="00303A41">
        <w:t>4</w:t>
      </w:r>
      <w:r>
        <w:t>.2024r.)</w:t>
      </w:r>
    </w:p>
  </w:footnote>
  <w:footnote w:id="9">
    <w:p w14:paraId="42B39BA6" w14:textId="5DBAAC69" w:rsidR="00303A41" w:rsidRDefault="00303A41" w:rsidP="00303A41">
      <w:pPr>
        <w:pStyle w:val="Tekstprzypisudolnego"/>
      </w:pPr>
      <w:r>
        <w:rPr>
          <w:rStyle w:val="Odwoanieprzypisudolnego"/>
        </w:rPr>
        <w:footnoteRef/>
      </w:r>
      <w:r>
        <w:t xml:space="preserve"> zmiana z 29.03.2024r. (dotychczas 2)</w:t>
      </w:r>
    </w:p>
    <w:p w14:paraId="0B53EB7E" w14:textId="56E74C34" w:rsidR="00303A41" w:rsidRDefault="00303A41">
      <w:pPr>
        <w:pStyle w:val="Tekstprzypisudolnego"/>
      </w:pPr>
    </w:p>
  </w:footnote>
  <w:footnote w:id="10">
    <w:p w14:paraId="2FA08189" w14:textId="14F65FCC" w:rsidR="00C2492C" w:rsidRDefault="00C2492C">
      <w:pPr>
        <w:pStyle w:val="Tekstprzypisudolnego"/>
      </w:pPr>
      <w:r>
        <w:rPr>
          <w:rStyle w:val="Odwoanieprzypisudolnego"/>
        </w:rPr>
        <w:footnoteRef/>
      </w:r>
      <w:r>
        <w:t xml:space="preserve"> Zmiana 29.03.2024 r. (dotychczas:</w:t>
      </w:r>
      <w:r w:rsidRPr="00C2492C">
        <w:t xml:space="preserve"> </w:t>
      </w:r>
      <w:r w:rsidRPr="000A2679">
        <w:t>Garażowych 1</w:t>
      </w:r>
      <w:r w:rsidRPr="007840D2">
        <w:rPr>
          <w:u w:val="single"/>
        </w:rPr>
        <w:t xml:space="preserve">2 płatnych – </w:t>
      </w:r>
      <w:r w:rsidRPr="00600740">
        <w:rPr>
          <w:u w:val="single"/>
        </w:rPr>
        <w:t>65000</w:t>
      </w:r>
      <w:r w:rsidRPr="007840D2">
        <w:rPr>
          <w:u w:val="single"/>
        </w:rPr>
        <w:t xml:space="preserve"> zł</w:t>
      </w:r>
      <w:r>
        <w:rPr>
          <w:u w:val="single"/>
        </w:rPr>
        <w:t xml:space="preserve">, </w:t>
      </w:r>
      <w:r w:rsidRPr="007840D2">
        <w:rPr>
          <w:u w:val="single"/>
        </w:rPr>
        <w:t xml:space="preserve">postojowych na zewnątrz 36 płatnych – </w:t>
      </w:r>
      <w:r w:rsidRPr="00600740">
        <w:rPr>
          <w:u w:val="single"/>
        </w:rPr>
        <w:t>35000</w:t>
      </w:r>
      <w:r w:rsidRPr="007840D2">
        <w:rPr>
          <w:u w:val="single"/>
        </w:rPr>
        <w:t xml:space="preserve"> zł</w:t>
      </w:r>
      <w:r>
        <w:t>)</w:t>
      </w:r>
    </w:p>
  </w:footnote>
  <w:footnote w:id="11">
    <w:p w14:paraId="4CE12B77" w14:textId="4973C15E" w:rsidR="00372BEE" w:rsidRDefault="00372BEE">
      <w:pPr>
        <w:pStyle w:val="Tekstprzypisudolnego"/>
      </w:pPr>
      <w:r>
        <w:rPr>
          <w:rStyle w:val="Odwoanieprzypisudolnego"/>
        </w:rPr>
        <w:footnoteRef/>
      </w:r>
      <w:r>
        <w:t xml:space="preserve"> zmiana z </w:t>
      </w:r>
      <w:r w:rsidR="00D02228">
        <w:t>29</w:t>
      </w:r>
      <w:r>
        <w:t>.</w:t>
      </w:r>
      <w:r w:rsidR="00D02228">
        <w:t>03</w:t>
      </w:r>
      <w:r>
        <w:t>.202</w:t>
      </w:r>
      <w:r w:rsidR="00D02228">
        <w:t>4</w:t>
      </w:r>
      <w:r>
        <w:t>r. (zaktualizowano wzór umowy deweloperskiej)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41E"/>
    <w:multiLevelType w:val="hybridMultilevel"/>
    <w:tmpl w:val="00B2FBE8"/>
    <w:lvl w:ilvl="0" w:tplc="BFFCCD9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B049B"/>
    <w:multiLevelType w:val="multilevel"/>
    <w:tmpl w:val="B7AE3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A408D6"/>
    <w:multiLevelType w:val="multilevel"/>
    <w:tmpl w:val="4E769B3C"/>
    <w:lvl w:ilvl="0">
      <w:start w:val="1"/>
      <w:numFmt w:val="decimal"/>
      <w:lvlText w:val="%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F42F54"/>
    <w:multiLevelType w:val="hybridMultilevel"/>
    <w:tmpl w:val="1ADE336C"/>
    <w:lvl w:ilvl="0" w:tplc="3CE20C1A">
      <w:start w:val="1"/>
      <w:numFmt w:val="decimal"/>
      <w:lvlText w:val="%1)"/>
      <w:lvlJc w:val="left"/>
      <w:pPr>
        <w:ind w:left="1334" w:hanging="360"/>
      </w:pPr>
      <w:rPr>
        <w:rFonts w:ascii="Palatino Linotype" w:hAnsi="Palatino Linotype" w:hint="default"/>
        <w:b w:val="0"/>
        <w:i w:val="0"/>
        <w:spacing w:val="0"/>
        <w:sz w:val="18"/>
        <w:szCs w:val="18"/>
      </w:r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4" w15:restartNumberingAfterBreak="0">
    <w:nsid w:val="43E90D07"/>
    <w:multiLevelType w:val="multilevel"/>
    <w:tmpl w:val="0EF6760C"/>
    <w:lvl w:ilvl="0">
      <w:start w:val="1"/>
      <w:numFmt w:val="decimal"/>
      <w:lvlText w:val="%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510518"/>
    <w:multiLevelType w:val="hybridMultilevel"/>
    <w:tmpl w:val="A6C2CBA8"/>
    <w:lvl w:ilvl="0" w:tplc="0415000F">
      <w:start w:val="1"/>
      <w:numFmt w:val="decimal"/>
      <w:lvlText w:val="%1."/>
      <w:lvlJc w:val="left"/>
      <w:pPr>
        <w:ind w:left="759" w:hanging="360"/>
      </w:pPr>
    </w:lvl>
    <w:lvl w:ilvl="1" w:tplc="04150019">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6" w15:restartNumberingAfterBreak="0">
    <w:nsid w:val="4B943CC5"/>
    <w:multiLevelType w:val="hybridMultilevel"/>
    <w:tmpl w:val="7BD4EDAE"/>
    <w:lvl w:ilvl="0" w:tplc="C4CC51BC">
      <w:start w:val="1"/>
      <w:numFmt w:val="decimal"/>
      <w:lvlText w:val="%1)"/>
      <w:lvlJc w:val="left"/>
      <w:pPr>
        <w:ind w:left="1440" w:hanging="360"/>
      </w:pPr>
      <w:rPr>
        <w:rFonts w:ascii="Palatino Linotype" w:hAnsi="Palatino Linotype" w:hint="default"/>
        <w:b w:val="0"/>
        <w:i w:val="0"/>
        <w:spacing w:val="0"/>
        <w:sz w:val="18"/>
        <w:szCs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1D63CAE"/>
    <w:multiLevelType w:val="hybridMultilevel"/>
    <w:tmpl w:val="1DC09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1F060F"/>
    <w:multiLevelType w:val="multilevel"/>
    <w:tmpl w:val="51F69990"/>
    <w:styleLink w:val="WWNum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372ADB"/>
    <w:multiLevelType w:val="hybridMultilevel"/>
    <w:tmpl w:val="853CF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D444EF"/>
    <w:multiLevelType w:val="hybridMultilevel"/>
    <w:tmpl w:val="14FC5846"/>
    <w:lvl w:ilvl="0" w:tplc="F9828346">
      <w:start w:val="1"/>
      <w:numFmt w:val="decimal"/>
      <w:lvlText w:val="%1)"/>
      <w:lvlJc w:val="left"/>
      <w:pPr>
        <w:ind w:left="1334" w:hanging="360"/>
      </w:pPr>
      <w:rPr>
        <w:rFonts w:ascii="Palatino Linotype" w:hAnsi="Palatino Linotype" w:hint="default"/>
        <w:b w:val="0"/>
        <w:i w:val="0"/>
        <w:spacing w:val="0"/>
        <w:sz w:val="18"/>
        <w:szCs w:val="16"/>
      </w:r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11" w15:restartNumberingAfterBreak="0">
    <w:nsid w:val="77BB01D9"/>
    <w:multiLevelType w:val="hybridMultilevel"/>
    <w:tmpl w:val="15B05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935F5A"/>
    <w:multiLevelType w:val="multilevel"/>
    <w:tmpl w:val="910E7338"/>
    <w:lvl w:ilvl="0">
      <w:start w:val="1"/>
      <w:numFmt w:val="decimal"/>
      <w:lvlText w:val="%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844062">
    <w:abstractNumId w:val="1"/>
  </w:num>
  <w:num w:numId="2" w16cid:durableId="1130824439">
    <w:abstractNumId w:val="7"/>
  </w:num>
  <w:num w:numId="3" w16cid:durableId="113796908">
    <w:abstractNumId w:val="8"/>
  </w:num>
  <w:num w:numId="4" w16cid:durableId="2044671527">
    <w:abstractNumId w:val="5"/>
  </w:num>
  <w:num w:numId="5" w16cid:durableId="1800371218">
    <w:abstractNumId w:val="0"/>
  </w:num>
  <w:num w:numId="6" w16cid:durableId="529683238">
    <w:abstractNumId w:val="6"/>
  </w:num>
  <w:num w:numId="7" w16cid:durableId="596450757">
    <w:abstractNumId w:val="3"/>
  </w:num>
  <w:num w:numId="8" w16cid:durableId="264727431">
    <w:abstractNumId w:val="9"/>
  </w:num>
  <w:num w:numId="9" w16cid:durableId="608895198">
    <w:abstractNumId w:val="10"/>
  </w:num>
  <w:num w:numId="10" w16cid:durableId="2086418214">
    <w:abstractNumId w:val="11"/>
  </w:num>
  <w:num w:numId="11" w16cid:durableId="929044974">
    <w:abstractNumId w:val="2"/>
  </w:num>
  <w:num w:numId="12" w16cid:durableId="393895">
    <w:abstractNumId w:val="12"/>
  </w:num>
  <w:num w:numId="13" w16cid:durableId="294800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88CEAD1-38D4-41A9-AC1E-222876D0F970}"/>
  </w:docVars>
  <w:rsids>
    <w:rsidRoot w:val="005E443E"/>
    <w:rsid w:val="0001117B"/>
    <w:rsid w:val="00015CFC"/>
    <w:rsid w:val="000349C2"/>
    <w:rsid w:val="00034D27"/>
    <w:rsid w:val="00036A14"/>
    <w:rsid w:val="000574B9"/>
    <w:rsid w:val="000B6028"/>
    <w:rsid w:val="000C3EE6"/>
    <w:rsid w:val="000D73BD"/>
    <w:rsid w:val="00105901"/>
    <w:rsid w:val="001223D5"/>
    <w:rsid w:val="00123233"/>
    <w:rsid w:val="00136F95"/>
    <w:rsid w:val="001427D6"/>
    <w:rsid w:val="00165505"/>
    <w:rsid w:val="00176456"/>
    <w:rsid w:val="0018064F"/>
    <w:rsid w:val="00182E54"/>
    <w:rsid w:val="001A4A62"/>
    <w:rsid w:val="001D0117"/>
    <w:rsid w:val="001D0E38"/>
    <w:rsid w:val="001D7E7D"/>
    <w:rsid w:val="001E2C11"/>
    <w:rsid w:val="001E7241"/>
    <w:rsid w:val="00213512"/>
    <w:rsid w:val="002259F5"/>
    <w:rsid w:val="002321A9"/>
    <w:rsid w:val="00245713"/>
    <w:rsid w:val="00252DAE"/>
    <w:rsid w:val="00253F21"/>
    <w:rsid w:val="00256944"/>
    <w:rsid w:val="002B14CD"/>
    <w:rsid w:val="00303A41"/>
    <w:rsid w:val="00305A2F"/>
    <w:rsid w:val="003262BF"/>
    <w:rsid w:val="00330A52"/>
    <w:rsid w:val="00366CA7"/>
    <w:rsid w:val="00372BEE"/>
    <w:rsid w:val="00382B3C"/>
    <w:rsid w:val="00385B13"/>
    <w:rsid w:val="00392A39"/>
    <w:rsid w:val="003A151A"/>
    <w:rsid w:val="003A5E18"/>
    <w:rsid w:val="003B3F49"/>
    <w:rsid w:val="003D41DB"/>
    <w:rsid w:val="003E4774"/>
    <w:rsid w:val="003E6474"/>
    <w:rsid w:val="003F25CE"/>
    <w:rsid w:val="003F6CFE"/>
    <w:rsid w:val="00400183"/>
    <w:rsid w:val="004134E2"/>
    <w:rsid w:val="004247E0"/>
    <w:rsid w:val="00427AB5"/>
    <w:rsid w:val="004316ED"/>
    <w:rsid w:val="004477AB"/>
    <w:rsid w:val="004528AD"/>
    <w:rsid w:val="0046288D"/>
    <w:rsid w:val="00465C47"/>
    <w:rsid w:val="0047510B"/>
    <w:rsid w:val="00494D44"/>
    <w:rsid w:val="004C4C92"/>
    <w:rsid w:val="004D13ED"/>
    <w:rsid w:val="004D38AA"/>
    <w:rsid w:val="00501DEB"/>
    <w:rsid w:val="00506D6D"/>
    <w:rsid w:val="00507366"/>
    <w:rsid w:val="00513813"/>
    <w:rsid w:val="005162C7"/>
    <w:rsid w:val="0057094D"/>
    <w:rsid w:val="005772B6"/>
    <w:rsid w:val="00596D88"/>
    <w:rsid w:val="005B2343"/>
    <w:rsid w:val="005D2091"/>
    <w:rsid w:val="005E443E"/>
    <w:rsid w:val="005E56D8"/>
    <w:rsid w:val="006379BF"/>
    <w:rsid w:val="006452A8"/>
    <w:rsid w:val="00645F4F"/>
    <w:rsid w:val="00654CF7"/>
    <w:rsid w:val="006B30D8"/>
    <w:rsid w:val="006B5426"/>
    <w:rsid w:val="006C336E"/>
    <w:rsid w:val="006C4DB7"/>
    <w:rsid w:val="006D07D5"/>
    <w:rsid w:val="006D3D19"/>
    <w:rsid w:val="006D7085"/>
    <w:rsid w:val="006E3892"/>
    <w:rsid w:val="006F2987"/>
    <w:rsid w:val="00701D63"/>
    <w:rsid w:val="007029BB"/>
    <w:rsid w:val="00713273"/>
    <w:rsid w:val="00726C52"/>
    <w:rsid w:val="00731605"/>
    <w:rsid w:val="007332BB"/>
    <w:rsid w:val="00757528"/>
    <w:rsid w:val="00757E90"/>
    <w:rsid w:val="007610BF"/>
    <w:rsid w:val="00761FF0"/>
    <w:rsid w:val="00777FC8"/>
    <w:rsid w:val="0079443E"/>
    <w:rsid w:val="007A34C8"/>
    <w:rsid w:val="007B1D17"/>
    <w:rsid w:val="007C276E"/>
    <w:rsid w:val="007C38F8"/>
    <w:rsid w:val="007D6F96"/>
    <w:rsid w:val="007F1AA3"/>
    <w:rsid w:val="007F40FD"/>
    <w:rsid w:val="007F4178"/>
    <w:rsid w:val="00806627"/>
    <w:rsid w:val="00832A41"/>
    <w:rsid w:val="00867975"/>
    <w:rsid w:val="00877D12"/>
    <w:rsid w:val="00887139"/>
    <w:rsid w:val="008B130F"/>
    <w:rsid w:val="008C2AB2"/>
    <w:rsid w:val="008F1060"/>
    <w:rsid w:val="00901F0A"/>
    <w:rsid w:val="00906590"/>
    <w:rsid w:val="00911BCF"/>
    <w:rsid w:val="00961AD3"/>
    <w:rsid w:val="00984966"/>
    <w:rsid w:val="009853BC"/>
    <w:rsid w:val="009B447D"/>
    <w:rsid w:val="009B6CBD"/>
    <w:rsid w:val="009C3E1B"/>
    <w:rsid w:val="00A25A11"/>
    <w:rsid w:val="00A27714"/>
    <w:rsid w:val="00A524BD"/>
    <w:rsid w:val="00A547CB"/>
    <w:rsid w:val="00A62B98"/>
    <w:rsid w:val="00A80FCF"/>
    <w:rsid w:val="00A82189"/>
    <w:rsid w:val="00A863BA"/>
    <w:rsid w:val="00AC0D30"/>
    <w:rsid w:val="00AF2DBE"/>
    <w:rsid w:val="00AF5C1E"/>
    <w:rsid w:val="00B06B5B"/>
    <w:rsid w:val="00B107BE"/>
    <w:rsid w:val="00B116AC"/>
    <w:rsid w:val="00B27C44"/>
    <w:rsid w:val="00B33059"/>
    <w:rsid w:val="00B379C5"/>
    <w:rsid w:val="00B67F37"/>
    <w:rsid w:val="00B827D8"/>
    <w:rsid w:val="00B93666"/>
    <w:rsid w:val="00BD3DE0"/>
    <w:rsid w:val="00BE4ACD"/>
    <w:rsid w:val="00C2492C"/>
    <w:rsid w:val="00C258BE"/>
    <w:rsid w:val="00C32D74"/>
    <w:rsid w:val="00C35F3F"/>
    <w:rsid w:val="00C53FB7"/>
    <w:rsid w:val="00C80798"/>
    <w:rsid w:val="00C8158A"/>
    <w:rsid w:val="00C8242F"/>
    <w:rsid w:val="00CA6022"/>
    <w:rsid w:val="00CD5EF2"/>
    <w:rsid w:val="00D02228"/>
    <w:rsid w:val="00D21558"/>
    <w:rsid w:val="00D2290D"/>
    <w:rsid w:val="00D4022D"/>
    <w:rsid w:val="00D47962"/>
    <w:rsid w:val="00D56955"/>
    <w:rsid w:val="00D61B83"/>
    <w:rsid w:val="00D71B79"/>
    <w:rsid w:val="00D73440"/>
    <w:rsid w:val="00D81E31"/>
    <w:rsid w:val="00D90396"/>
    <w:rsid w:val="00D961B9"/>
    <w:rsid w:val="00DB13B6"/>
    <w:rsid w:val="00DC5F95"/>
    <w:rsid w:val="00DD1111"/>
    <w:rsid w:val="00DD55A3"/>
    <w:rsid w:val="00DD7A15"/>
    <w:rsid w:val="00DE1867"/>
    <w:rsid w:val="00E03319"/>
    <w:rsid w:val="00E15159"/>
    <w:rsid w:val="00E41A27"/>
    <w:rsid w:val="00E4637D"/>
    <w:rsid w:val="00E5416B"/>
    <w:rsid w:val="00E625F9"/>
    <w:rsid w:val="00E73AA0"/>
    <w:rsid w:val="00E94720"/>
    <w:rsid w:val="00EA34D6"/>
    <w:rsid w:val="00EA590E"/>
    <w:rsid w:val="00EA5FD5"/>
    <w:rsid w:val="00EB0881"/>
    <w:rsid w:val="00EB535C"/>
    <w:rsid w:val="00EE41BC"/>
    <w:rsid w:val="00F2131D"/>
    <w:rsid w:val="00F438CB"/>
    <w:rsid w:val="00F43980"/>
    <w:rsid w:val="00F61183"/>
    <w:rsid w:val="00F861C5"/>
    <w:rsid w:val="00F975A9"/>
    <w:rsid w:val="00FA5CE0"/>
    <w:rsid w:val="00FC7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A88E"/>
  <w15:docId w15:val="{E82EF326-F814-40D8-9F48-8F242350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0AA"/>
    <w:rPr>
      <w:rFonts w:eastAsiaTheme="minorEastAsia"/>
    </w:rPr>
  </w:style>
  <w:style w:type="paragraph" w:styleId="Nagwek1">
    <w:name w:val="heading 1"/>
    <w:basedOn w:val="Normalny"/>
    <w:next w:val="Normalny"/>
    <w:link w:val="Nagwek1Znak"/>
    <w:uiPriority w:val="9"/>
    <w:qFormat/>
    <w:rsid w:val="00000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0000AA"/>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
    <w:semiHidden/>
    <w:unhideWhenUsed/>
    <w:qFormat/>
    <w:rsid w:val="000000A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rsid w:val="00E5416B"/>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E5416B"/>
    <w:pPr>
      <w:keepNext/>
      <w:keepLines/>
      <w:spacing w:before="220" w:after="40"/>
      <w:outlineLvl w:val="4"/>
    </w:pPr>
    <w:rPr>
      <w:b/>
    </w:rPr>
  </w:style>
  <w:style w:type="paragraph" w:styleId="Nagwek6">
    <w:name w:val="heading 6"/>
    <w:basedOn w:val="Normalny"/>
    <w:next w:val="Normalny"/>
    <w:uiPriority w:val="9"/>
    <w:semiHidden/>
    <w:unhideWhenUsed/>
    <w:qFormat/>
    <w:rsid w:val="00E5416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5416B"/>
    <w:tblPr>
      <w:tblCellMar>
        <w:top w:w="0" w:type="dxa"/>
        <w:left w:w="0" w:type="dxa"/>
        <w:bottom w:w="0" w:type="dxa"/>
        <w:right w:w="0" w:type="dxa"/>
      </w:tblCellMar>
    </w:tblPr>
  </w:style>
  <w:style w:type="paragraph" w:styleId="Tytu">
    <w:name w:val="Title"/>
    <w:basedOn w:val="Normalny"/>
    <w:next w:val="Normalny"/>
    <w:uiPriority w:val="10"/>
    <w:qFormat/>
    <w:rsid w:val="00E5416B"/>
    <w:pPr>
      <w:keepNext/>
      <w:keepLines/>
      <w:spacing w:before="480" w:after="120"/>
    </w:pPr>
    <w:rPr>
      <w:b/>
      <w:sz w:val="72"/>
      <w:szCs w:val="72"/>
    </w:rPr>
  </w:style>
  <w:style w:type="numbering" w:customStyle="1" w:styleId="Tech-ComDokumentacja">
    <w:name w:val="Tech-Com Dokumentacja"/>
    <w:uiPriority w:val="99"/>
    <w:rsid w:val="000000AA"/>
  </w:style>
  <w:style w:type="table" w:customStyle="1" w:styleId="TabelaMurapolSpecyfikacja">
    <w:name w:val="Tabela Murapol Specyfikacja"/>
    <w:basedOn w:val="Standardowy"/>
    <w:uiPriority w:val="99"/>
    <w:rsid w:val="000000AA"/>
    <w:pPr>
      <w:spacing w:after="0" w:line="240" w:lineRule="auto"/>
      <w:jc w:val="center"/>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b/>
      </w:rPr>
      <w:tblPr/>
      <w:tcPr>
        <w:shd w:val="clear" w:color="auto" w:fill="548DD4" w:themeFill="text2" w:themeFillTint="99"/>
      </w:tcPr>
    </w:tblStylePr>
    <w:tblStylePr w:type="lastCol">
      <w:pPr>
        <w:jc w:val="left"/>
      </w:pPr>
    </w:tblStylePr>
  </w:style>
  <w:style w:type="table" w:customStyle="1" w:styleId="TabelaMurapolSpecyfikacjainnykolor">
    <w:name w:val="Tabela Murapol Specyfikacja inny kolor"/>
    <w:basedOn w:val="TabelaMurapolSpecyfikacja"/>
    <w:uiPriority w:val="99"/>
    <w:rsid w:val="000000AA"/>
    <w:tblPr/>
    <w:tblStylePr w:type="firstRow">
      <w:pPr>
        <w:jc w:val="center"/>
      </w:pPr>
      <w:rPr>
        <w:b/>
      </w:rPr>
      <w:tblPr/>
      <w:tcPr>
        <w:shd w:val="clear" w:color="auto" w:fill="FFFF00"/>
      </w:tcPr>
    </w:tblStylePr>
    <w:tblStylePr w:type="lastCol">
      <w:pPr>
        <w:jc w:val="left"/>
      </w:pPr>
    </w:tblStylePr>
  </w:style>
  <w:style w:type="table" w:customStyle="1" w:styleId="Murapolpowiadomienia">
    <w:name w:val="Murapol powiadomienia"/>
    <w:basedOn w:val="Standardowy"/>
    <w:uiPriority w:val="9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2"/>
      </w:rPr>
      <w:tblPr/>
      <w:tcPr>
        <w:shd w:val="clear" w:color="auto" w:fill="B8CCE4" w:themeFill="accent1" w:themeFillTint="66"/>
      </w:tcPr>
    </w:tblStylePr>
  </w:style>
  <w:style w:type="paragraph" w:customStyle="1" w:styleId="MurapolNazwaAkcji">
    <w:name w:val="Murapol Nazwa Akcji"/>
    <w:basedOn w:val="Normalny"/>
    <w:qFormat/>
    <w:rsid w:val="000000AA"/>
    <w:pPr>
      <w:tabs>
        <w:tab w:val="left" w:pos="10206"/>
      </w:tabs>
      <w:spacing w:after="0" w:line="240" w:lineRule="auto"/>
    </w:pPr>
    <w:rPr>
      <w:rFonts w:ascii="Arial" w:hAnsi="Arial" w:cs="Arial"/>
      <w:b/>
    </w:rPr>
  </w:style>
  <w:style w:type="paragraph" w:customStyle="1" w:styleId="MurapolTrepowiadomienia">
    <w:name w:val="Murapol Treść powiadomienia"/>
    <w:basedOn w:val="Normalny"/>
    <w:qFormat/>
    <w:rsid w:val="000000AA"/>
    <w:pPr>
      <w:tabs>
        <w:tab w:val="left" w:pos="10206"/>
      </w:tabs>
      <w:spacing w:after="0" w:line="240" w:lineRule="auto"/>
    </w:pPr>
    <w:rPr>
      <w:rFonts w:ascii="Arial" w:hAnsi="Arial" w:cs="Arial"/>
    </w:rPr>
  </w:style>
  <w:style w:type="character" w:customStyle="1" w:styleId="Nagwek1Znak">
    <w:name w:val="Nagłówek 1 Znak"/>
    <w:basedOn w:val="Domylnaczcionkaakapitu"/>
    <w:link w:val="Nagwek1"/>
    <w:uiPriority w:val="9"/>
    <w:rsid w:val="000000A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0000A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000AA"/>
    <w:rPr>
      <w:rFonts w:asciiTheme="majorHAnsi" w:eastAsiaTheme="majorEastAsia" w:hAnsiTheme="majorHAnsi" w:cstheme="majorBidi"/>
      <w:b/>
      <w:bCs/>
      <w:color w:val="4F81BD" w:themeColor="accent1"/>
      <w:lang w:eastAsia="pl-PL"/>
    </w:rPr>
  </w:style>
  <w:style w:type="paragraph" w:styleId="Nagwek">
    <w:name w:val="header"/>
    <w:basedOn w:val="Normalny"/>
    <w:link w:val="NagwekZnak"/>
    <w:unhideWhenUsed/>
    <w:rsid w:val="000000AA"/>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0000AA"/>
  </w:style>
  <w:style w:type="paragraph" w:styleId="Stopka">
    <w:name w:val="footer"/>
    <w:basedOn w:val="Normalny"/>
    <w:link w:val="StopkaZnak"/>
    <w:uiPriority w:val="99"/>
    <w:unhideWhenUsed/>
    <w:rsid w:val="00000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0AA"/>
    <w:rPr>
      <w:rFonts w:eastAsiaTheme="minorEastAsia"/>
      <w:lang w:eastAsia="pl-PL"/>
    </w:rPr>
  </w:style>
  <w:style w:type="paragraph" w:styleId="Tekstdymka">
    <w:name w:val="Balloon Text"/>
    <w:basedOn w:val="Normalny"/>
    <w:link w:val="TekstdymkaZnak"/>
    <w:uiPriority w:val="99"/>
    <w:semiHidden/>
    <w:unhideWhenUsed/>
    <w:rsid w:val="000000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00AA"/>
    <w:rPr>
      <w:rFonts w:ascii="Tahoma" w:eastAsiaTheme="minorEastAsia" w:hAnsi="Tahoma" w:cs="Tahoma"/>
      <w:sz w:val="16"/>
      <w:szCs w:val="16"/>
      <w:lang w:eastAsia="pl-PL"/>
    </w:rPr>
  </w:style>
  <w:style w:type="table" w:styleId="Tabela-Siatka">
    <w:name w:val="Table Grid"/>
    <w:basedOn w:val="Standardowy"/>
    <w:uiPriority w:val="5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0000AA"/>
    <w:pPr>
      <w:ind w:left="720"/>
      <w:contextualSpacing/>
    </w:pPr>
  </w:style>
  <w:style w:type="paragraph" w:styleId="Tekstprzypisudolnego">
    <w:name w:val="footnote text"/>
    <w:basedOn w:val="Normalny"/>
    <w:link w:val="TekstprzypisudolnegoZnak"/>
    <w:uiPriority w:val="99"/>
    <w:semiHidden/>
    <w:unhideWhenUsed/>
    <w:rsid w:val="00EC43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4332"/>
    <w:rPr>
      <w:rFonts w:eastAsiaTheme="minorEastAsia"/>
      <w:sz w:val="20"/>
      <w:szCs w:val="20"/>
      <w:lang w:eastAsia="pl-PL"/>
    </w:rPr>
  </w:style>
  <w:style w:type="character" w:styleId="Odwoanieprzypisudolnego">
    <w:name w:val="footnote reference"/>
    <w:basedOn w:val="Domylnaczcionkaakapitu"/>
    <w:uiPriority w:val="99"/>
    <w:semiHidden/>
    <w:unhideWhenUsed/>
    <w:rsid w:val="00EC4332"/>
    <w:rPr>
      <w:vertAlign w:val="superscript"/>
    </w:rPr>
  </w:style>
  <w:style w:type="paragraph" w:customStyle="1" w:styleId="Normalny3">
    <w:name w:val="Normalny3"/>
    <w:basedOn w:val="Normalny"/>
    <w:rsid w:val="00A31D9B"/>
    <w:pPr>
      <w:widowControl w:val="0"/>
      <w:suppressAutoHyphens/>
      <w:autoSpaceDE w:val="0"/>
      <w:spacing w:after="0" w:line="240" w:lineRule="auto"/>
    </w:pPr>
    <w:rPr>
      <w:rFonts w:ascii="Times New Roman" w:eastAsia="Times New Roman" w:hAnsi="Times New Roman" w:cs="Times New Roman"/>
      <w:kern w:val="1"/>
      <w:sz w:val="20"/>
      <w:szCs w:val="20"/>
      <w:lang w:bidi="pl-PL"/>
    </w:rPr>
  </w:style>
  <w:style w:type="character" w:styleId="Hipercze">
    <w:name w:val="Hyperlink"/>
    <w:basedOn w:val="Domylnaczcionkaakapitu"/>
    <w:uiPriority w:val="99"/>
    <w:unhideWhenUsed/>
    <w:rsid w:val="00830BFB"/>
    <w:rPr>
      <w:color w:val="0000FF" w:themeColor="hyperlink"/>
      <w:u w:val="single"/>
    </w:rPr>
  </w:style>
  <w:style w:type="paragraph" w:styleId="Tekstpodstawowywcity2">
    <w:name w:val="Body Text Indent 2"/>
    <w:basedOn w:val="Normalny"/>
    <w:link w:val="Tekstpodstawowywcity2Znak"/>
    <w:semiHidden/>
    <w:rsid w:val="002815B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0" w:line="240" w:lineRule="auto"/>
      <w:ind w:firstLine="567"/>
      <w:jc w:val="both"/>
    </w:pPr>
    <w:rPr>
      <w:rFonts w:ascii="Courier New CE Normalny" w:eastAsia="Times New Roman" w:hAnsi="Courier New CE Normalny" w:cs="Times New Roman"/>
      <w:b/>
      <w:sz w:val="27"/>
      <w:szCs w:val="20"/>
    </w:rPr>
  </w:style>
  <w:style w:type="character" w:customStyle="1" w:styleId="Tekstpodstawowywcity2Znak">
    <w:name w:val="Tekst podstawowy wcięty 2 Znak"/>
    <w:basedOn w:val="Domylnaczcionkaakapitu"/>
    <w:link w:val="Tekstpodstawowywcity2"/>
    <w:semiHidden/>
    <w:rsid w:val="002815BE"/>
    <w:rPr>
      <w:rFonts w:ascii="Courier New CE Normalny" w:eastAsia="Times New Roman" w:hAnsi="Courier New CE Normalny" w:cs="Times New Roman"/>
      <w:b/>
      <w:sz w:val="27"/>
      <w:szCs w:val="20"/>
      <w:lang w:eastAsia="pl-PL"/>
    </w:rPr>
  </w:style>
  <w:style w:type="paragraph" w:styleId="Tekstpodstawowy">
    <w:name w:val="Body Text"/>
    <w:basedOn w:val="Normalny"/>
    <w:link w:val="TekstpodstawowyZnak"/>
    <w:uiPriority w:val="99"/>
    <w:unhideWhenUsed/>
    <w:rsid w:val="00A259F9"/>
    <w:pPr>
      <w:spacing w:after="120"/>
    </w:pPr>
  </w:style>
  <w:style w:type="character" w:customStyle="1" w:styleId="TekstpodstawowyZnak">
    <w:name w:val="Tekst podstawowy Znak"/>
    <w:basedOn w:val="Domylnaczcionkaakapitu"/>
    <w:link w:val="Tekstpodstawowy"/>
    <w:uiPriority w:val="99"/>
    <w:rsid w:val="00A259F9"/>
    <w:rPr>
      <w:rFonts w:eastAsiaTheme="minorEastAsia"/>
      <w:lang w:eastAsia="pl-PL"/>
    </w:rPr>
  </w:style>
  <w:style w:type="paragraph" w:styleId="Tekstprzypisukocowego">
    <w:name w:val="endnote text"/>
    <w:basedOn w:val="Normalny"/>
    <w:link w:val="TekstprzypisukocowegoZnak"/>
    <w:uiPriority w:val="99"/>
    <w:semiHidden/>
    <w:unhideWhenUsed/>
    <w:rsid w:val="001D2C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2CBC"/>
    <w:rPr>
      <w:rFonts w:eastAsiaTheme="minorEastAsia"/>
      <w:sz w:val="20"/>
      <w:szCs w:val="20"/>
      <w:lang w:eastAsia="pl-PL"/>
    </w:rPr>
  </w:style>
  <w:style w:type="character" w:styleId="Odwoanieprzypisukocowego">
    <w:name w:val="endnote reference"/>
    <w:basedOn w:val="Domylnaczcionkaakapitu"/>
    <w:uiPriority w:val="99"/>
    <w:semiHidden/>
    <w:unhideWhenUsed/>
    <w:rsid w:val="001D2CBC"/>
    <w:rPr>
      <w:vertAlign w:val="superscript"/>
    </w:rPr>
  </w:style>
  <w:style w:type="character" w:customStyle="1" w:styleId="Nierozpoznanawzmianka1">
    <w:name w:val="Nierozpoznana wzmianka1"/>
    <w:basedOn w:val="Domylnaczcionkaakapitu"/>
    <w:uiPriority w:val="99"/>
    <w:semiHidden/>
    <w:unhideWhenUsed/>
    <w:rsid w:val="003C1033"/>
    <w:rPr>
      <w:color w:val="605E5C"/>
      <w:shd w:val="clear" w:color="auto" w:fill="E1DFDD"/>
    </w:rPr>
  </w:style>
  <w:style w:type="character" w:styleId="Odwoaniedokomentarza">
    <w:name w:val="annotation reference"/>
    <w:basedOn w:val="Domylnaczcionkaakapitu"/>
    <w:uiPriority w:val="99"/>
    <w:semiHidden/>
    <w:unhideWhenUsed/>
    <w:rsid w:val="00B44953"/>
    <w:rPr>
      <w:sz w:val="16"/>
      <w:szCs w:val="16"/>
    </w:rPr>
  </w:style>
  <w:style w:type="paragraph" w:styleId="Tekstkomentarza">
    <w:name w:val="annotation text"/>
    <w:basedOn w:val="Normalny"/>
    <w:link w:val="TekstkomentarzaZnak"/>
    <w:uiPriority w:val="99"/>
    <w:unhideWhenUsed/>
    <w:rsid w:val="00B449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495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44953"/>
    <w:rPr>
      <w:b/>
      <w:bCs/>
    </w:rPr>
  </w:style>
  <w:style w:type="character" w:customStyle="1" w:styleId="TematkomentarzaZnak">
    <w:name w:val="Temat komentarza Znak"/>
    <w:basedOn w:val="TekstkomentarzaZnak"/>
    <w:link w:val="Tematkomentarza"/>
    <w:uiPriority w:val="99"/>
    <w:semiHidden/>
    <w:rsid w:val="00B44953"/>
    <w:rPr>
      <w:rFonts w:eastAsiaTheme="minorEastAsia"/>
      <w:b/>
      <w:bCs/>
      <w:sz w:val="20"/>
      <w:szCs w:val="20"/>
      <w:lang w:eastAsia="pl-PL"/>
    </w:rPr>
  </w:style>
  <w:style w:type="character" w:customStyle="1" w:styleId="apple-converted-space">
    <w:name w:val="apple-converted-space"/>
    <w:rsid w:val="00527C4C"/>
  </w:style>
  <w:style w:type="character" w:customStyle="1" w:styleId="normaltextrun">
    <w:name w:val="normaltextrun"/>
    <w:basedOn w:val="Domylnaczcionkaakapitu"/>
    <w:rsid w:val="007F591F"/>
  </w:style>
  <w:style w:type="character" w:styleId="Pogrubienie">
    <w:name w:val="Strong"/>
    <w:basedOn w:val="Domylnaczcionkaakapitu"/>
    <w:uiPriority w:val="22"/>
    <w:qFormat/>
    <w:rsid w:val="00CA5F87"/>
    <w:rPr>
      <w:b/>
      <w:bCs/>
    </w:rPr>
  </w:style>
  <w:style w:type="character" w:customStyle="1" w:styleId="highlight">
    <w:name w:val="highlight"/>
    <w:basedOn w:val="Domylnaczcionkaakapitu"/>
    <w:rsid w:val="00257E3D"/>
  </w:style>
  <w:style w:type="character" w:customStyle="1" w:styleId="footnote">
    <w:name w:val="footnote"/>
    <w:basedOn w:val="Domylnaczcionkaakapitu"/>
    <w:rsid w:val="00257E3D"/>
  </w:style>
  <w:style w:type="paragraph" w:customStyle="1" w:styleId="mainpub">
    <w:name w:val="mainpub"/>
    <w:basedOn w:val="Normalny"/>
    <w:rsid w:val="00257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komentarzaZnak1">
    <w:name w:val="Tekst komentarza Znak1"/>
    <w:uiPriority w:val="99"/>
    <w:rsid w:val="00B00362"/>
    <w:rPr>
      <w:rFonts w:ascii="Garamond" w:eastAsia="Times New Roman" w:hAnsi="Garamond" w:cs="Times New Roman"/>
      <w:sz w:val="20"/>
      <w:szCs w:val="20"/>
      <w:lang w:eastAsia="pl-PL"/>
    </w:rPr>
  </w:style>
  <w:style w:type="paragraph" w:styleId="Podtytu">
    <w:name w:val="Subtitle"/>
    <w:basedOn w:val="Normalny"/>
    <w:next w:val="Normalny"/>
    <w:uiPriority w:val="11"/>
    <w:qFormat/>
    <w:rsid w:val="00E5416B"/>
    <w:pPr>
      <w:keepNext/>
      <w:keepLines/>
      <w:spacing w:before="360" w:after="80"/>
    </w:pPr>
    <w:rPr>
      <w:rFonts w:ascii="Georgia" w:eastAsia="Georgia" w:hAnsi="Georgia" w:cs="Georgia"/>
      <w:i/>
      <w:color w:val="666666"/>
      <w:sz w:val="48"/>
      <w:szCs w:val="48"/>
    </w:rPr>
  </w:style>
  <w:style w:type="table" w:customStyle="1" w:styleId="a">
    <w:basedOn w:val="TableNormal"/>
    <w:rsid w:val="00E5416B"/>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a0">
    <w:basedOn w:val="TableNormal"/>
    <w:rsid w:val="00E5416B"/>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a1">
    <w:basedOn w:val="TableNormal"/>
    <w:rsid w:val="00E5416B"/>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a2">
    <w:basedOn w:val="TableNormal"/>
    <w:rsid w:val="00E5416B"/>
    <w:tblPr>
      <w:tblStyleRowBandSize w:val="1"/>
      <w:tblStyleColBandSize w:val="1"/>
    </w:tblPr>
  </w:style>
  <w:style w:type="numbering" w:customStyle="1" w:styleId="WWNum25">
    <w:name w:val="WWNum25"/>
    <w:basedOn w:val="Bezlisty"/>
    <w:rsid w:val="00757E90"/>
    <w:pPr>
      <w:numPr>
        <w:numId w:val="3"/>
      </w:numPr>
    </w:pPr>
  </w:style>
  <w:style w:type="paragraph" w:customStyle="1" w:styleId="Standard">
    <w:name w:val="Standard"/>
    <w:rsid w:val="00757E90"/>
    <w:pPr>
      <w:widowControl w:val="0"/>
      <w:suppressAutoHyphens/>
      <w:autoSpaceDN w:val="0"/>
      <w:spacing w:after="0" w:line="240" w:lineRule="auto"/>
      <w:textAlignment w:val="baseline"/>
    </w:pPr>
    <w:rPr>
      <w:rFonts w:ascii="Liberation Serif" w:eastAsia="Liberation Serif" w:hAnsi="Liberation Serif" w:cs="Mangal"/>
      <w:kern w:val="3"/>
      <w:sz w:val="24"/>
      <w:szCs w:val="24"/>
      <w:lang w:eastAsia="zh-CN" w:bidi="hi-IN"/>
    </w:rPr>
  </w:style>
  <w:style w:type="character" w:customStyle="1" w:styleId="markedcontent">
    <w:name w:val="markedcontent"/>
    <w:basedOn w:val="Domylnaczcionkaakapitu"/>
    <w:rsid w:val="00701D63"/>
  </w:style>
  <w:style w:type="paragraph" w:styleId="Poprawka">
    <w:name w:val="Revision"/>
    <w:hidden/>
    <w:uiPriority w:val="99"/>
    <w:semiHidden/>
    <w:rsid w:val="00D73440"/>
    <w:pPr>
      <w:spacing w:after="0" w:line="240" w:lineRule="auto"/>
    </w:pPr>
    <w:rPr>
      <w:rFonts w:eastAsiaTheme="minorEastAsia"/>
    </w:rPr>
  </w:style>
  <w:style w:type="paragraph" w:customStyle="1" w:styleId="Default">
    <w:name w:val="Default"/>
    <w:rsid w:val="00C8158A"/>
    <w:pPr>
      <w:autoSpaceDE w:val="0"/>
      <w:autoSpaceDN w:val="0"/>
      <w:adjustRightInd w:val="0"/>
      <w:spacing w:after="0" w:line="240" w:lineRule="auto"/>
    </w:pPr>
    <w:rPr>
      <w:rFonts w:ascii="Times New Roman" w:hAnsi="Times New Roman" w:cs="Times New Roman"/>
      <w:color w:val="000000"/>
      <w:sz w:val="24"/>
      <w:szCs w:val="24"/>
    </w:rPr>
  </w:style>
  <w:style w:type="paragraph" w:styleId="Zwykytekst">
    <w:name w:val="Plain Text"/>
    <w:basedOn w:val="Normalny"/>
    <w:link w:val="ZwykytekstZnak"/>
    <w:uiPriority w:val="99"/>
    <w:unhideWhenUsed/>
    <w:rsid w:val="002B14CD"/>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rsid w:val="002B14CD"/>
    <w:rPr>
      <w:rFonts w:eastAsiaTheme="minorHAnsi" w:cstheme="minorBidi"/>
      <w:szCs w:val="21"/>
      <w:lang w:eastAsia="en-US"/>
    </w:rPr>
  </w:style>
  <w:style w:type="character" w:customStyle="1" w:styleId="Nierozpoznanawzmianka2">
    <w:name w:val="Nierozpoznana wzmianka2"/>
    <w:basedOn w:val="Domylnaczcionkaakapitu"/>
    <w:uiPriority w:val="99"/>
    <w:semiHidden/>
    <w:unhideWhenUsed/>
    <w:rsid w:val="00BD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88553">
      <w:bodyDiv w:val="1"/>
      <w:marLeft w:val="0"/>
      <w:marRight w:val="0"/>
      <w:marTop w:val="0"/>
      <w:marBottom w:val="0"/>
      <w:divBdr>
        <w:top w:val="none" w:sz="0" w:space="0" w:color="auto"/>
        <w:left w:val="none" w:sz="0" w:space="0" w:color="auto"/>
        <w:bottom w:val="none" w:sz="0" w:space="0" w:color="auto"/>
        <w:right w:val="none" w:sz="0" w:space="0" w:color="auto"/>
      </w:divBdr>
    </w:div>
    <w:div w:id="793328810">
      <w:bodyDiv w:val="1"/>
      <w:marLeft w:val="0"/>
      <w:marRight w:val="0"/>
      <w:marTop w:val="0"/>
      <w:marBottom w:val="0"/>
      <w:divBdr>
        <w:top w:val="none" w:sz="0" w:space="0" w:color="auto"/>
        <w:left w:val="none" w:sz="0" w:space="0" w:color="auto"/>
        <w:bottom w:val="none" w:sz="0" w:space="0" w:color="auto"/>
        <w:right w:val="none" w:sz="0" w:space="0" w:color="auto"/>
      </w:divBdr>
    </w:div>
    <w:div w:id="882668413">
      <w:bodyDiv w:val="1"/>
      <w:marLeft w:val="0"/>
      <w:marRight w:val="0"/>
      <w:marTop w:val="0"/>
      <w:marBottom w:val="0"/>
      <w:divBdr>
        <w:top w:val="none" w:sz="0" w:space="0" w:color="auto"/>
        <w:left w:val="none" w:sz="0" w:space="0" w:color="auto"/>
        <w:bottom w:val="none" w:sz="0" w:space="0" w:color="auto"/>
        <w:right w:val="none" w:sz="0" w:space="0" w:color="auto"/>
      </w:divBdr>
    </w:div>
    <w:div w:id="921329604">
      <w:bodyDiv w:val="1"/>
      <w:marLeft w:val="0"/>
      <w:marRight w:val="0"/>
      <w:marTop w:val="0"/>
      <w:marBottom w:val="0"/>
      <w:divBdr>
        <w:top w:val="none" w:sz="0" w:space="0" w:color="auto"/>
        <w:left w:val="none" w:sz="0" w:space="0" w:color="auto"/>
        <w:bottom w:val="none" w:sz="0" w:space="0" w:color="auto"/>
        <w:right w:val="none" w:sz="0" w:space="0" w:color="auto"/>
      </w:divBdr>
    </w:div>
    <w:div w:id="1307127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oportal.wroclaw.pl/mpz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s.um.wroc.pl/imap/?gpmap=Studium20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3.xml><?xml version="1.0" encoding="utf-8"?>
<go:gDocsCustomXmlDataStorage xmlns:go="http://customooxmlschemas.google.com/" xmlns:r="http://schemas.openxmlformats.org/officeDocument/2006/relationships">
  <go:docsCustomData xmlns:go="http://customooxmlschemas.google.com/" roundtripDataSignature="AMtx7mivgmFEAumsbxCJ/1e3+Cg1xXpFWg==">AMUW2mXPGjfgfE5uPPh6HDTGcQkZSwMYA/qJe+n4ZcYgB9Um56/a9qDg1QukOfvUqFUxthhNn83H6nc1agPJyrqtsZIhXwHVQI0EyuH2rZEWIosdzY0cC0VjbRB4/3NZTpA0LsEhCtnnyi/rO+x7U1pz2IjqwTKzmxw/TYo2VihgyLMi9gqrQqpkIPTLGIjlkdHWRcs3BxE4vBZnUYEv2PUIj0WsoE4BRkLmy17aPYsgrKShsj4v2igoJFiBWPSFpOFv/Z+Wkaqy</go:docsCustomData>
</go:gDocsCustomXmlDataStorage>
</file>

<file path=customXml/itemProps1.xml><?xml version="1.0" encoding="utf-8"?>
<ds:datastoreItem xmlns:ds="http://schemas.openxmlformats.org/officeDocument/2006/customXml" ds:itemID="{E0240FFE-C5A4-4F65-BE1C-DE4CA6CE8055}">
  <ds:schemaRefs>
    <ds:schemaRef ds:uri="http://schemas.openxmlformats.org/officeDocument/2006/bibliography"/>
  </ds:schemaRefs>
</ds:datastoreItem>
</file>

<file path=customXml/itemProps2.xml><?xml version="1.0" encoding="utf-8"?>
<ds:datastoreItem xmlns:ds="http://schemas.openxmlformats.org/officeDocument/2006/customXml" ds:itemID="{288CEAD1-38D4-41A9-AC1E-222876D0F970}">
  <ds:schemaRefs>
    <ds:schemaRef ds:uri="http://www.w3.org/2001/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5097</Words>
  <Characters>30586</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Kruczek</dc:creator>
  <cp:lastModifiedBy>Radoslaw Szczot</cp:lastModifiedBy>
  <cp:revision>2</cp:revision>
  <cp:lastPrinted>2023-11-16T14:28:00Z</cp:lastPrinted>
  <dcterms:created xsi:type="dcterms:W3CDTF">2025-09-10T14:57:00Z</dcterms:created>
  <dcterms:modified xsi:type="dcterms:W3CDTF">2025-09-10T14:57:00Z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0x010100D7E59B6E057D904AAE05FF492A23AA60</vt:lpwstr>
  </property>
</Properties>
</file>